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DE48" w14:textId="77777777" w:rsidR="008D3406" w:rsidRPr="00855C67" w:rsidRDefault="008D3406" w:rsidP="008D3406">
      <w:pPr>
        <w:rPr>
          <w:b/>
          <w:bCs/>
          <w:sz w:val="28"/>
          <w:szCs w:val="28"/>
        </w:rPr>
      </w:pPr>
      <w:bookmarkStart w:id="0" w:name="_Hlk188275423"/>
      <w:r w:rsidRPr="00855C67">
        <w:rPr>
          <w:b/>
          <w:bCs/>
          <w:sz w:val="28"/>
          <w:szCs w:val="28"/>
        </w:rPr>
        <w:t>HENNLICH přináší chytrá bateriová úložiště: Úspory bez fotovoltaiky</w:t>
      </w:r>
    </w:p>
    <w:p w14:paraId="6CC02CFF" w14:textId="77777777" w:rsidR="008D3406" w:rsidRPr="00855C67" w:rsidRDefault="008D3406" w:rsidP="008D3406">
      <w:pPr>
        <w:jc w:val="both"/>
        <w:rPr>
          <w:b/>
          <w:bCs/>
          <w:sz w:val="24"/>
          <w:szCs w:val="24"/>
        </w:rPr>
      </w:pPr>
      <w:r w:rsidRPr="00855C67">
        <w:rPr>
          <w:b/>
          <w:bCs/>
          <w:sz w:val="24"/>
          <w:szCs w:val="24"/>
        </w:rPr>
        <w:t xml:space="preserve">Litoměřice, </w:t>
      </w:r>
      <w:r>
        <w:rPr>
          <w:b/>
          <w:bCs/>
          <w:sz w:val="24"/>
          <w:szCs w:val="24"/>
        </w:rPr>
        <w:t>23</w:t>
      </w:r>
      <w:r w:rsidRPr="00855C67">
        <w:rPr>
          <w:b/>
          <w:bCs/>
          <w:sz w:val="24"/>
          <w:szCs w:val="24"/>
        </w:rPr>
        <w:t>. června 2025 – Divize G-TERM společnosti HENNLICH rozšiřuje portfolio energetických řešení o chytrá bateriová úložiště pro firemní zákazníky. Nový produkt reaguje na rostoucí poptávku po technologiích, které firmám pomáhají efektivně řídit spotřebu energie, snižovat náklady a zvyšovat energetickou nezávislost – a to i bez nutnosti investovat do fotovoltaických systémů.</w:t>
      </w:r>
    </w:p>
    <w:p w14:paraId="238B1F5C" w14:textId="77777777" w:rsidR="008D3406" w:rsidRPr="00855C67" w:rsidRDefault="008D3406" w:rsidP="008D3406">
      <w:pPr>
        <w:jc w:val="both"/>
        <w:rPr>
          <w:sz w:val="24"/>
          <w:szCs w:val="24"/>
        </w:rPr>
      </w:pPr>
      <w:r w:rsidRPr="00855C67">
        <w:rPr>
          <w:sz w:val="24"/>
          <w:szCs w:val="24"/>
        </w:rPr>
        <w:t xml:space="preserve">Bateriová úložiště </w:t>
      </w:r>
      <w:r>
        <w:rPr>
          <w:sz w:val="24"/>
          <w:szCs w:val="24"/>
        </w:rPr>
        <w:t xml:space="preserve">od firmy </w:t>
      </w:r>
      <w:r w:rsidRPr="00855C67">
        <w:rPr>
          <w:sz w:val="24"/>
          <w:szCs w:val="24"/>
        </w:rPr>
        <w:t xml:space="preserve">HENNLICH představují inovativní řešení, které umožňuje výrazně snížit špičky v odběru elektřiny, tzv. </w:t>
      </w:r>
      <w:proofErr w:type="spellStart"/>
      <w:r w:rsidRPr="00855C67">
        <w:rPr>
          <w:sz w:val="24"/>
          <w:szCs w:val="24"/>
        </w:rPr>
        <w:t>peak</w:t>
      </w:r>
      <w:proofErr w:type="spellEnd"/>
      <w:r w:rsidRPr="00855C67">
        <w:rPr>
          <w:sz w:val="24"/>
          <w:szCs w:val="24"/>
        </w:rPr>
        <w:t xml:space="preserve"> </w:t>
      </w:r>
      <w:proofErr w:type="spellStart"/>
      <w:r w:rsidRPr="00855C67">
        <w:rPr>
          <w:sz w:val="24"/>
          <w:szCs w:val="24"/>
        </w:rPr>
        <w:t>shaving</w:t>
      </w:r>
      <w:proofErr w:type="spellEnd"/>
      <w:r>
        <w:rPr>
          <w:sz w:val="24"/>
          <w:szCs w:val="24"/>
        </w:rPr>
        <w:t>. To</w:t>
      </w:r>
      <w:r w:rsidRPr="00855C67">
        <w:rPr>
          <w:sz w:val="24"/>
          <w:szCs w:val="24"/>
        </w:rPr>
        <w:t xml:space="preserve"> </w:t>
      </w:r>
      <w:r>
        <w:rPr>
          <w:sz w:val="24"/>
          <w:szCs w:val="24"/>
        </w:rPr>
        <w:t>přispívá</w:t>
      </w:r>
      <w:r w:rsidRPr="00855C67">
        <w:rPr>
          <w:sz w:val="24"/>
          <w:szCs w:val="24"/>
        </w:rPr>
        <w:t xml:space="preserve"> ke snížení celkových nákladů na elektřinu a optimalizaci využití rezervované kapacity. Systém zároveň zvyšuje soběstačnost a flexibilitu provozu, čímž firmám umožňuje lépe se přizpůsobit kolísání cen energií nebo změnám ve výrobních špičkách.</w:t>
      </w:r>
    </w:p>
    <w:p w14:paraId="2B3ED57B" w14:textId="77777777" w:rsidR="008D3406" w:rsidRPr="00855C67" w:rsidRDefault="008D3406" w:rsidP="008D3406">
      <w:pPr>
        <w:jc w:val="both"/>
        <w:rPr>
          <w:sz w:val="24"/>
          <w:szCs w:val="24"/>
        </w:rPr>
      </w:pPr>
      <w:r w:rsidRPr="00855C67">
        <w:rPr>
          <w:i/>
          <w:iCs/>
          <w:sz w:val="24"/>
          <w:szCs w:val="24"/>
        </w:rPr>
        <w:t>„Firmy dnes hledají chytrá a rychle návratná řešení, jak zvládat rostoucí ceny energií a nároky na stabilitu sítě. Naše bateriové systémy jim v tom pomáhají bez potřeby investovat do fotovoltaiky, která ne vždy dává smysl. Nabízíme řešení na klíč – od technického návrhu, přes žádosti o dotace až po komunikaci s distributorem,“</w:t>
      </w:r>
      <w:r w:rsidRPr="00855C67">
        <w:rPr>
          <w:sz w:val="24"/>
          <w:szCs w:val="24"/>
        </w:rPr>
        <w:t xml:space="preserve"> říká </w:t>
      </w:r>
      <w:r w:rsidRPr="00855C67">
        <w:rPr>
          <w:b/>
          <w:bCs/>
          <w:sz w:val="24"/>
          <w:szCs w:val="24"/>
        </w:rPr>
        <w:t>Štěpán Studený, vedoucí divize G-TERM společnosti HENNLICH.</w:t>
      </w:r>
    </w:p>
    <w:p w14:paraId="249086FC" w14:textId="77777777" w:rsidR="008D3406" w:rsidRPr="00855C67" w:rsidRDefault="008D3406" w:rsidP="008D3406">
      <w:pPr>
        <w:jc w:val="both"/>
        <w:rPr>
          <w:sz w:val="24"/>
          <w:szCs w:val="24"/>
        </w:rPr>
      </w:pPr>
      <w:r w:rsidRPr="00855C67">
        <w:rPr>
          <w:sz w:val="24"/>
          <w:szCs w:val="24"/>
        </w:rPr>
        <w:t>Jedním z největších přínosů tohoto řešení je schopnost automatické optimalizace nákupu elektřiny při obchodování na SPOT trhu. Díky tomu mohou firmy efektivně využívat aktuálně nejvýhodnějších cen a dosahovat dlouhodobých úspor. Všechny projekty jsou dodávány formou „na klíč“, což znamená, že zákazník získává kompletní servis – od odborného návrhu systému, přes vyřízení dotačních titulů, až po komunikaci s distributory.</w:t>
      </w:r>
    </w:p>
    <w:p w14:paraId="579726F8" w14:textId="77777777" w:rsidR="008D3406" w:rsidRDefault="008D3406" w:rsidP="008D3406">
      <w:pPr>
        <w:jc w:val="both"/>
      </w:pPr>
      <w:r w:rsidRPr="00855C67">
        <w:rPr>
          <w:sz w:val="24"/>
          <w:szCs w:val="24"/>
        </w:rPr>
        <w:t>Nová bateriová úložiště jsou určena především pro průmyslové firmy v České republice a na Slovensku, které chtějí zefektivnit svůj energetický management a zároveň získat větší stabilitu v nákladech i provozu. Bateriové systémy představují také strategickou výhodu pro firmy, které chtějí posílit svou odolnost vůči energetickým výpadkům nebo nestabilitě sítě.</w:t>
      </w:r>
      <w:r>
        <w:rPr>
          <w:sz w:val="24"/>
          <w:szCs w:val="24"/>
        </w:rPr>
        <w:t xml:space="preserve"> </w:t>
      </w:r>
      <w:r w:rsidRPr="00855C67">
        <w:rPr>
          <w:sz w:val="24"/>
          <w:szCs w:val="24"/>
        </w:rPr>
        <w:t xml:space="preserve">Systémy dodávané společností HENNLICH jsou škálovatelné od 200 kWh, mají vlastní EMS a jsou sestavované z kvalitních komponent jednoho výrobce.  </w:t>
      </w:r>
    </w:p>
    <w:p w14:paraId="5CBEE57D" w14:textId="77777777" w:rsidR="008D3406" w:rsidRPr="00855C67" w:rsidRDefault="008D3406" w:rsidP="008D3406">
      <w:pPr>
        <w:jc w:val="both"/>
        <w:rPr>
          <w:sz w:val="24"/>
          <w:szCs w:val="24"/>
        </w:rPr>
      </w:pPr>
      <w:r w:rsidRPr="00855C67">
        <w:rPr>
          <w:sz w:val="24"/>
          <w:szCs w:val="24"/>
        </w:rPr>
        <w:t xml:space="preserve">Divize G-TERM </w:t>
      </w:r>
      <w:r>
        <w:rPr>
          <w:sz w:val="24"/>
          <w:szCs w:val="24"/>
        </w:rPr>
        <w:t xml:space="preserve">rozšířením portfolia </w:t>
      </w:r>
      <w:r w:rsidRPr="00855C67">
        <w:rPr>
          <w:sz w:val="24"/>
          <w:szCs w:val="24"/>
        </w:rPr>
        <w:t xml:space="preserve">navazuje na více než dvacetileté zkušenosti v oblasti technických řešení pro </w:t>
      </w:r>
      <w:r>
        <w:rPr>
          <w:sz w:val="24"/>
          <w:szCs w:val="24"/>
        </w:rPr>
        <w:t xml:space="preserve">úsporné </w:t>
      </w:r>
      <w:r w:rsidRPr="00855C67">
        <w:rPr>
          <w:sz w:val="24"/>
          <w:szCs w:val="24"/>
        </w:rPr>
        <w:t>vytápění a energetiku. Díky svému odbornému zázemí nyní nabízí také bezplatnou konzultaci, při které odborníci navrhnou optimální řešení bateriového systému přesně podle potřeb konkrétního podniku.</w:t>
      </w:r>
    </w:p>
    <w:p w14:paraId="2276CDBE" w14:textId="77777777" w:rsidR="008D3406" w:rsidRDefault="008D3406" w:rsidP="008D3406">
      <w:pPr>
        <w:rPr>
          <w:b/>
          <w:bCs/>
        </w:rPr>
      </w:pPr>
      <w:r>
        <w:rPr>
          <w:b/>
          <w:bCs/>
        </w:rPr>
        <w:t>Link na zprávu:</w:t>
      </w:r>
    </w:p>
    <w:p w14:paraId="42BFC9FD" w14:textId="77777777" w:rsidR="008D3406" w:rsidRPr="00107977" w:rsidRDefault="008D3406" w:rsidP="008D3406">
      <w:hyperlink r:id="rId10" w:history="1">
        <w:r w:rsidRPr="00107977">
          <w:rPr>
            <w:rStyle w:val="Hypertextovodkaz"/>
          </w:rPr>
          <w:t>https://www.hennlich.cz/g-term/aktuality/hennlich-prinasi-chytra-bateriova-uloziste-uspory-bez-fotovoltaiky/?utm_source=PR&amp;utm_medium=TZ&amp;utm_campaign=TZ_HENNLICH_2025_06_23_G-TERM+-+bateriov%C3%A1+%C3%BAlo%C5%BEi%C5%A1t%C4%9B</w:t>
        </w:r>
      </w:hyperlink>
    </w:p>
    <w:p w14:paraId="52B4D230" w14:textId="77777777" w:rsidR="008D3406" w:rsidRDefault="008D3406" w:rsidP="008D3406">
      <w:pPr>
        <w:rPr>
          <w:b/>
          <w:bCs/>
        </w:rPr>
      </w:pPr>
      <w:r>
        <w:rPr>
          <w:b/>
          <w:bCs/>
        </w:rPr>
        <w:br w:type="page"/>
      </w:r>
    </w:p>
    <w:p w14:paraId="7DF06F20" w14:textId="77777777" w:rsidR="008D3406" w:rsidRDefault="008D3406" w:rsidP="008D3406">
      <w:pPr>
        <w:rPr>
          <w:b/>
          <w:bCs/>
        </w:rPr>
      </w:pPr>
    </w:p>
    <w:p w14:paraId="0BE409DA" w14:textId="77777777" w:rsidR="008D3406" w:rsidRDefault="008D3406" w:rsidP="008D3406">
      <w:pPr>
        <w:rPr>
          <w:b/>
          <w:bCs/>
        </w:rPr>
      </w:pPr>
      <w:r>
        <w:rPr>
          <w:b/>
          <w:bCs/>
        </w:rPr>
        <w:t>Obrázek:</w:t>
      </w:r>
    </w:p>
    <w:p w14:paraId="465AA0F9" w14:textId="77777777" w:rsidR="008D3406" w:rsidRDefault="008D3406" w:rsidP="008D340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0F9968" wp14:editId="68C742AD">
            <wp:extent cx="3181350" cy="3181350"/>
            <wp:effectExtent l="0" t="0" r="0" b="0"/>
            <wp:docPr id="2058369830" name="Obrázek 1" descr="Obsah obrázku strom, venku, budova, územ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69830" name="Obrázek 1" descr="Obsah obrázku strom, venku, budova, území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581E79D2" wp14:editId="1EA987B1">
            <wp:extent cx="3205191" cy="1600200"/>
            <wp:effectExtent l="0" t="0" r="0" b="0"/>
            <wp:docPr id="476129022" name="Obrázek 2" descr="Obsah obrázku diagram, svah, Vykreslený graf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29022" name="Obrázek 2" descr="Obsah obrázku diagram, svah, Vykreslený graf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29" cy="16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53D0" w14:textId="77777777" w:rsidR="008D3406" w:rsidRPr="003A72A5" w:rsidRDefault="008D3406" w:rsidP="008D3406">
      <w:pPr>
        <w:rPr>
          <w:b/>
          <w:bCs/>
          <w:sz w:val="24"/>
          <w:szCs w:val="24"/>
        </w:rPr>
      </w:pPr>
      <w:r w:rsidRPr="003A72A5">
        <w:rPr>
          <w:b/>
          <w:bCs/>
          <w:sz w:val="24"/>
          <w:szCs w:val="24"/>
        </w:rPr>
        <w:t>Popis obrázku:</w:t>
      </w:r>
    </w:p>
    <w:p w14:paraId="754226DB" w14:textId="77777777" w:rsidR="008D3406" w:rsidRPr="003A72A5" w:rsidRDefault="008D3406" w:rsidP="008D3406">
      <w:pPr>
        <w:jc w:val="both"/>
        <w:rPr>
          <w:sz w:val="20"/>
          <w:szCs w:val="20"/>
        </w:rPr>
      </w:pPr>
      <w:r w:rsidRPr="003A72A5">
        <w:rPr>
          <w:b/>
          <w:bCs/>
        </w:rPr>
        <w:t>Divize G-TERM s</w:t>
      </w:r>
      <w:r w:rsidRPr="00855C67">
        <w:rPr>
          <w:b/>
          <w:bCs/>
        </w:rPr>
        <w:t>polečnost</w:t>
      </w:r>
      <w:r w:rsidRPr="003A72A5">
        <w:rPr>
          <w:b/>
          <w:bCs/>
        </w:rPr>
        <w:t>i</w:t>
      </w:r>
      <w:r w:rsidRPr="00855C67">
        <w:rPr>
          <w:b/>
          <w:bCs/>
        </w:rPr>
        <w:t xml:space="preserve"> HENNLICH rozšiřuje </w:t>
      </w:r>
      <w:r w:rsidRPr="003A72A5">
        <w:rPr>
          <w:b/>
          <w:bCs/>
        </w:rPr>
        <w:t>portfolio</w:t>
      </w:r>
      <w:r w:rsidRPr="00855C67">
        <w:rPr>
          <w:b/>
          <w:bCs/>
        </w:rPr>
        <w:t xml:space="preserve"> energetických řešení o chytrá bateriová úložiště pro firemní zákazníky. Nový produkt reaguje na rostoucí poptávku po technologiích, které firmám pomáhají efektivně řídit spotřebu energie, snižovat náklady a zvyšovat energetickou nezávislost – a to i bez nutnosti investovat do fotovoltaických systémů.</w:t>
      </w:r>
      <w:r w:rsidRPr="003A72A5">
        <w:rPr>
          <w:b/>
          <w:bCs/>
        </w:rPr>
        <w:t xml:space="preserve"> Systémy dodávané společností HENNLICH jsou škálovatelné od 200 kWh, mají vlastní EMS a jsou sestavované z kvalitních komponent jednoho výrobce.</w:t>
      </w:r>
      <w:r w:rsidRPr="003A72A5">
        <w:t xml:space="preserve">  </w:t>
      </w:r>
    </w:p>
    <w:bookmarkEnd w:id="0"/>
    <w:p w14:paraId="05D986AA" w14:textId="77777777" w:rsidR="008D3406" w:rsidRPr="00AE1A2D" w:rsidRDefault="008D3406" w:rsidP="008D3406">
      <w:pPr>
        <w:jc w:val="both"/>
        <w:rPr>
          <w:b/>
          <w:bCs/>
        </w:rPr>
      </w:pPr>
      <w:r>
        <w:rPr>
          <w:b/>
          <w:bCs/>
        </w:rPr>
        <w:t>(Foto: HENNLICH)</w:t>
      </w:r>
    </w:p>
    <w:p w14:paraId="050FD8D7" w14:textId="77777777" w:rsidR="008D3406" w:rsidRDefault="008D3406" w:rsidP="008D3406">
      <w:pPr>
        <w:rPr>
          <w:rFonts w:cs="Arial"/>
          <w:b/>
          <w:bCs/>
          <w:sz w:val="20"/>
          <w:szCs w:val="20"/>
        </w:rPr>
      </w:pPr>
    </w:p>
    <w:p w14:paraId="4BFE629B" w14:textId="77777777" w:rsidR="008D3406" w:rsidRPr="00855C67" w:rsidRDefault="008D3406" w:rsidP="008D3406">
      <w:pPr>
        <w:rPr>
          <w:b/>
          <w:bCs/>
        </w:rPr>
      </w:pPr>
      <w:r w:rsidRPr="00855C67">
        <w:rPr>
          <w:b/>
          <w:bCs/>
        </w:rPr>
        <w:t xml:space="preserve">Více informací: </w:t>
      </w:r>
    </w:p>
    <w:p w14:paraId="7919BE7B" w14:textId="77777777" w:rsidR="008D3406" w:rsidRPr="00855C67" w:rsidRDefault="008D3406" w:rsidP="008D3406">
      <w:hyperlink r:id="rId13" w:history="1">
        <w:r w:rsidRPr="00855C67">
          <w:rPr>
            <w:rStyle w:val="Hypertextovodkaz"/>
          </w:rPr>
          <w:t>https://www.hennlich.cz/g-term/bateriove-systemy</w:t>
        </w:r>
      </w:hyperlink>
    </w:p>
    <w:p w14:paraId="6BAD5D48" w14:textId="77777777" w:rsidR="008D3406" w:rsidRDefault="008D3406" w:rsidP="008D3406">
      <w:pPr>
        <w:rPr>
          <w:rFonts w:cs="Arial"/>
          <w:b/>
          <w:bCs/>
          <w:sz w:val="20"/>
          <w:szCs w:val="20"/>
        </w:rPr>
      </w:pPr>
    </w:p>
    <w:p w14:paraId="74E082DF" w14:textId="77777777" w:rsidR="008D3406" w:rsidRPr="00A9405A" w:rsidRDefault="008D3406" w:rsidP="008D34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9405A">
        <w:rPr>
          <w:rFonts w:cs="Arial"/>
          <w:b/>
          <w:color w:val="000000"/>
          <w:szCs w:val="20"/>
        </w:rPr>
        <w:t xml:space="preserve">Kontakt pro média: </w:t>
      </w:r>
      <w:r w:rsidRPr="00A9405A">
        <w:rPr>
          <w:rFonts w:cs="Arial"/>
          <w:b/>
          <w:color w:val="000000"/>
          <w:szCs w:val="20"/>
        </w:rPr>
        <w:br/>
      </w:r>
      <w:r w:rsidRPr="00A9405A">
        <w:rPr>
          <w:rFonts w:cs="Arial"/>
          <w:color w:val="000000"/>
          <w:szCs w:val="20"/>
        </w:rPr>
        <w:t>Ing. Martin Jonáš</w:t>
      </w:r>
      <w:r w:rsidRPr="00A9405A">
        <w:rPr>
          <w:rFonts w:cs="Arial"/>
          <w:color w:val="000000"/>
          <w:szCs w:val="20"/>
        </w:rPr>
        <w:br/>
        <w:t>PR manažer</w:t>
      </w:r>
      <w:r w:rsidRPr="00A9405A">
        <w:rPr>
          <w:rFonts w:cs="Arial"/>
          <w:color w:val="000000"/>
          <w:szCs w:val="20"/>
        </w:rPr>
        <w:br/>
        <w:t>HENNLICH s.r.o.</w:t>
      </w:r>
      <w:r w:rsidRPr="00A9405A">
        <w:rPr>
          <w:rFonts w:cs="Arial"/>
          <w:color w:val="000000"/>
          <w:szCs w:val="20"/>
        </w:rPr>
        <w:br/>
        <w:t>Tel: 724 269 811</w:t>
      </w:r>
      <w:r w:rsidRPr="00A9405A">
        <w:rPr>
          <w:rFonts w:cs="Arial"/>
          <w:color w:val="000000"/>
          <w:szCs w:val="20"/>
        </w:rPr>
        <w:br/>
        <w:t>e-mail: jonas@hennlich.cz</w:t>
      </w:r>
    </w:p>
    <w:p w14:paraId="64099E9E" w14:textId="77777777" w:rsidR="008D3406" w:rsidRPr="000355B9" w:rsidRDefault="008D3406" w:rsidP="008D3406">
      <w:pPr>
        <w:rPr>
          <w:rFonts w:cs="Arial"/>
        </w:rPr>
      </w:pPr>
    </w:p>
    <w:p w14:paraId="60170C1B" w14:textId="77777777" w:rsidR="008D3406" w:rsidRPr="000355B9" w:rsidRDefault="008D3406" w:rsidP="008D3406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6F38598C" w14:textId="77777777" w:rsidR="008D3406" w:rsidRPr="000355B9" w:rsidRDefault="008D3406" w:rsidP="008D3406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FD045B8" w14:textId="77777777" w:rsidR="008D3406" w:rsidRPr="000355B9" w:rsidRDefault="008D3406" w:rsidP="008D3406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sectPr w:rsidR="008D3406" w:rsidRPr="000355B9" w:rsidSect="00303A8E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2269" w:right="849" w:bottom="226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7FB8" w14:textId="77777777" w:rsidR="007A74AD" w:rsidRDefault="007A74AD" w:rsidP="00416EE5">
      <w:pPr>
        <w:spacing w:after="0" w:line="240" w:lineRule="auto"/>
      </w:pPr>
      <w:r>
        <w:separator/>
      </w:r>
    </w:p>
  </w:endnote>
  <w:endnote w:type="continuationSeparator" w:id="0">
    <w:p w14:paraId="11C4A615" w14:textId="77777777" w:rsidR="007A74AD" w:rsidRDefault="007A74AD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0CF" w14:textId="396456CB" w:rsidR="00D40951" w:rsidRDefault="00D40951" w:rsidP="00D40951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A4D744A" w14:textId="0D2A9A78" w:rsidR="00D40951" w:rsidRDefault="00D40951" w:rsidP="00D40951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412 01 </w:t>
    </w:r>
    <w:proofErr w:type="gramStart"/>
    <w:r>
      <w:rPr>
        <w:sz w:val="16"/>
        <w:szCs w:val="16"/>
      </w:rPr>
      <w:t>Litoměřice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Českolipská </w:t>
    </w:r>
    <w:proofErr w:type="gramStart"/>
    <w:r>
      <w:rPr>
        <w:sz w:val="16"/>
        <w:szCs w:val="16"/>
      </w:rPr>
      <w:t>9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Pr="00CA1A9A">
      <w:rPr>
        <w:sz w:val="16"/>
        <w:szCs w:val="16"/>
      </w:rPr>
      <w:t>@hennlich.cz</w:t>
    </w:r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>
      <w:rPr>
        <w:sz w:val="16"/>
        <w:szCs w:val="16"/>
      </w:rPr>
      <w:t xml:space="preserve">  </w:t>
    </w:r>
    <w:r w:rsidRPr="00CA1A9A">
      <w:rPr>
        <w:sz w:val="16"/>
        <w:szCs w:val="16"/>
      </w:rPr>
      <w:t>+420 416 711</w:t>
    </w:r>
    <w:r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>
      <w:rPr>
        <w:sz w:val="16"/>
        <w:szCs w:val="16"/>
      </w:rPr>
      <w:t xml:space="preserve">  |</w:t>
    </w:r>
    <w:proofErr w:type="gramEnd"/>
    <w:r>
      <w:rPr>
        <w:sz w:val="16"/>
        <w:szCs w:val="16"/>
      </w:rPr>
      <w:t xml:space="preserve">  </w:t>
    </w:r>
    <w:r w:rsidRPr="000F7349">
      <w:rPr>
        <w:sz w:val="16"/>
        <w:szCs w:val="16"/>
      </w:rPr>
      <w:t>www.hennlich.cz</w:t>
    </w:r>
  </w:p>
  <w:p w14:paraId="68731279" w14:textId="77777777" w:rsidR="00D40951" w:rsidRDefault="00D40951" w:rsidP="00D40951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9892C3" wp14:editId="186158E3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1174264951" name="Přímá spojnice 1174264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164CD" id="Přímá spojnice 117426495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0F7349">
      <w:rPr>
        <w:sz w:val="16"/>
        <w:szCs w:val="16"/>
      </w:rPr>
      <w:t>Zapsán do obchodního rejstříku u Krajského soudu v Ústí nad Labem v oddíle C, č. vložky 274</w:t>
    </w:r>
  </w:p>
  <w:p w14:paraId="575A99F5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7AC79D0E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1000A858" w14:textId="49D13ABF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0446FEC8" w14:textId="7803482D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="00C350F1">
      <w:rPr>
        <w:sz w:val="16"/>
        <w:szCs w:val="16"/>
      </w:rPr>
      <w:t>.:</w:t>
    </w:r>
    <w:r w:rsidRPr="000F7349">
      <w:rPr>
        <w:sz w:val="16"/>
        <w:szCs w:val="16"/>
      </w:rPr>
      <w:t xml:space="preserve"> 671 777 8888/2700</w:t>
    </w:r>
  </w:p>
  <w:p w14:paraId="32A8E4B9" w14:textId="77777777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25A7270D" w14:textId="56E122F6" w:rsidR="00D40951" w:rsidRP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C2EB" w14:textId="39063C6A" w:rsidR="000478E5" w:rsidRDefault="000478E5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4B25F08" w14:textId="47DB6FB0" w:rsidR="000F7349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412 01 </w:t>
    </w:r>
    <w:proofErr w:type="gramStart"/>
    <w:r w:rsidR="00CA1A9A">
      <w:rPr>
        <w:sz w:val="16"/>
        <w:szCs w:val="16"/>
      </w:rPr>
      <w:t>Litoměřice</w:t>
    </w:r>
    <w:r w:rsidR="006D083F">
      <w:rPr>
        <w:sz w:val="16"/>
        <w:szCs w:val="16"/>
      </w:rPr>
      <w:t xml:space="preserve">  |</w:t>
    </w:r>
    <w:proofErr w:type="gramEnd"/>
    <w:r w:rsidR="006D083F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Českolipská </w:t>
    </w:r>
    <w:proofErr w:type="gramStart"/>
    <w:r w:rsidR="00CA1A9A">
      <w:rPr>
        <w:sz w:val="16"/>
        <w:szCs w:val="16"/>
      </w:rPr>
      <w:t>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proofErr w:type="gramEnd"/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CA1A9A"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 w:rsidR="00CA1A9A">
      <w:rPr>
        <w:sz w:val="16"/>
        <w:szCs w:val="16"/>
      </w:rPr>
      <w:t xml:space="preserve">  |</w:t>
    </w:r>
    <w:proofErr w:type="gramEnd"/>
    <w:r w:rsidR="00CA1A9A">
      <w:rPr>
        <w:sz w:val="16"/>
        <w:szCs w:val="16"/>
      </w:rPr>
      <w:t xml:space="preserve">  </w:t>
    </w:r>
    <w:r w:rsidR="00CA1A9A" w:rsidRPr="000F7349">
      <w:rPr>
        <w:sz w:val="16"/>
        <w:szCs w:val="16"/>
      </w:rPr>
      <w:t>www.hennlich.cz</w:t>
    </w:r>
    <w:r w:rsidR="00BC7DA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400A7D3" wp14:editId="352F521E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AB8E5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6A2C6C">
      <w:rPr>
        <w:sz w:val="16"/>
        <w:szCs w:val="16"/>
      </w:rPr>
      <w:br/>
      <w:t>Z</w:t>
    </w:r>
    <w:r w:rsidR="000F7349" w:rsidRPr="000F7349">
      <w:rPr>
        <w:sz w:val="16"/>
        <w:szCs w:val="16"/>
      </w:rPr>
      <w:t>apsán do obchodního rejstříku u Krajského soudu v Ústí nad Labem v oddíle C, č. vložky 274</w:t>
    </w:r>
  </w:p>
  <w:p w14:paraId="59F4AB64" w14:textId="77777777" w:rsidR="000F7349" w:rsidRDefault="000F7349">
    <w:pPr>
      <w:pStyle w:val="Zpat"/>
      <w:rPr>
        <w:sz w:val="16"/>
        <w:szCs w:val="16"/>
      </w:rPr>
    </w:pPr>
  </w:p>
  <w:p w14:paraId="1A601457" w14:textId="77777777" w:rsidR="000F7349" w:rsidRDefault="000F7349">
    <w:pPr>
      <w:pStyle w:val="Zpat"/>
      <w:rPr>
        <w:sz w:val="16"/>
        <w:szCs w:val="16"/>
      </w:rPr>
    </w:pPr>
  </w:p>
  <w:p w14:paraId="72F90E7E" w14:textId="77777777" w:rsidR="000F7349" w:rsidRDefault="000F7349" w:rsidP="000F7349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57ADDD26" w14:textId="30F4CC40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8888/2700</w:t>
    </w:r>
  </w:p>
  <w:p w14:paraId="4409F1DE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4C909D2D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AAF3" w14:textId="77777777" w:rsidR="007A74AD" w:rsidRDefault="007A74AD" w:rsidP="00416EE5">
      <w:pPr>
        <w:spacing w:after="0" w:line="240" w:lineRule="auto"/>
      </w:pPr>
      <w:r>
        <w:separator/>
      </w:r>
    </w:p>
  </w:footnote>
  <w:footnote w:type="continuationSeparator" w:id="0">
    <w:p w14:paraId="2D3A5C6E" w14:textId="77777777" w:rsidR="007A74AD" w:rsidRDefault="007A74AD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348" w14:textId="1A9665A2" w:rsidR="007A74AD" w:rsidRDefault="006A2C6C" w:rsidP="007A74AD">
    <w:pPr>
      <w:pStyle w:val="Zhlav"/>
      <w:ind w:right="5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CFA60" wp14:editId="232F12E1">
              <wp:simplePos x="0" y="0"/>
              <wp:positionH relativeFrom="page">
                <wp:posOffset>438150</wp:posOffset>
              </wp:positionH>
              <wp:positionV relativeFrom="page">
                <wp:posOffset>542925</wp:posOffset>
              </wp:positionV>
              <wp:extent cx="5057775" cy="758190"/>
              <wp:effectExtent l="0" t="0" r="0" b="3810"/>
              <wp:wrapNone/>
              <wp:docPr id="1691349568" name="Textové pole 169134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24F7" w14:textId="1F6D8E92" w:rsidR="007A74AD" w:rsidRPr="007A74AD" w:rsidRDefault="008D3406" w:rsidP="007A74AD">
                          <w:pPr>
                            <w:pStyle w:val="Vc"/>
                            <w:tabs>
                              <w:tab w:val="clear" w:pos="2534"/>
                            </w:tabs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A60" id="_x0000_t202" coordsize="21600,21600" o:spt="202" path="m,l,21600r21600,l21600,xe">
              <v:stroke joinstyle="miter"/>
              <v:path gradientshapeok="t" o:connecttype="rect"/>
            </v:shapetype>
            <v:shape id="Textové pole 1691349568" o:spid="_x0000_s1026" type="#_x0000_t202" style="position:absolute;margin-left:34.5pt;margin-top:42.75pt;width:398.25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U4QEAAKEDAAAOAAAAZHJzL2Uyb0RvYy54bWysU9tu2zAMfR+wfxD0vtgO4rk14hRdiw4D&#10;ugvQ7QNkWbaF2aJGKbGzrx8lp2m2vQ17ESSSPjznkN7ezOPADgqdBlPxbJVypoyERpuu4t++Pry5&#10;4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" filled="f" stroked="f">
              <v:textbox>
                <w:txbxContent>
                  <w:p w14:paraId="166F24F7" w14:textId="1F6D8E92" w:rsidR="007A74AD" w:rsidRPr="007A74AD" w:rsidRDefault="008D3406" w:rsidP="007A74AD">
                    <w:pPr>
                      <w:pStyle w:val="Vc"/>
                      <w:tabs>
                        <w:tab w:val="clear" w:pos="2534"/>
                      </w:tabs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72576" behindDoc="0" locked="0" layoutInCell="1" allowOverlap="1" wp14:anchorId="4BB1AA95" wp14:editId="16C5B752">
          <wp:simplePos x="0" y="0"/>
          <wp:positionH relativeFrom="column">
            <wp:posOffset>5317490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1790353599" name="Obrázek 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7066" name="Obrázek 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ED5" w14:textId="73333923" w:rsidR="00F72E3B" w:rsidRDefault="006A2C6C" w:rsidP="004825E1">
    <w:pPr>
      <w:pStyle w:val="Zhlav"/>
      <w:tabs>
        <w:tab w:val="clear" w:pos="4536"/>
        <w:tab w:val="clear" w:pos="9072"/>
        <w:tab w:val="left" w:pos="7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B9E9" wp14:editId="39E43790">
              <wp:simplePos x="0" y="0"/>
              <wp:positionH relativeFrom="page">
                <wp:posOffset>1990725</wp:posOffset>
              </wp:positionH>
              <wp:positionV relativeFrom="page">
                <wp:posOffset>533400</wp:posOffset>
              </wp:positionV>
              <wp:extent cx="5094605" cy="758190"/>
              <wp:effectExtent l="0" t="0" r="0" b="381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493F" w14:textId="450A6E2C" w:rsidR="007A74AD" w:rsidRPr="007A74AD" w:rsidRDefault="008D3406" w:rsidP="007A74AD">
                          <w:pPr>
                            <w:pStyle w:val="Vc"/>
                            <w:jc w:val="right"/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ab/>
                            <w:t>TISKOVÁ ZPRÁVA</w:t>
                          </w:r>
                        </w:p>
                        <w:p w14:paraId="1FFFDDB5" w14:textId="504605DB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</w:r>
                        </w:p>
                        <w:p w14:paraId="35E930B0" w14:textId="2F6729A1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B9E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156.75pt;margin-top:42pt;width:401.1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Fp4wEAAKg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" filled="f" stroked="f">
              <v:textbox>
                <w:txbxContent>
                  <w:p w14:paraId="12E4493F" w14:textId="450A6E2C" w:rsidR="007A74AD" w:rsidRPr="007A74AD" w:rsidRDefault="008D3406" w:rsidP="007A74AD">
                    <w:pPr>
                      <w:pStyle w:val="Vc"/>
                      <w:jc w:val="right"/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ab/>
                      <w:t>TISKOVÁ ZPRÁVA</w:t>
                    </w:r>
                  </w:p>
                  <w:p w14:paraId="1FFFDDB5" w14:textId="504605DB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</w:r>
                  </w:p>
                  <w:p w14:paraId="35E930B0" w14:textId="2F6729A1" w:rsidR="00EC0532" w:rsidRPr="00167E0D" w:rsidRDefault="00EC0532" w:rsidP="007A74AD">
                    <w:pPr>
                      <w:pStyle w:val="Vc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59263" behindDoc="0" locked="0" layoutInCell="1" allowOverlap="1" wp14:anchorId="3AE9424C" wp14:editId="0F23DCFE">
          <wp:simplePos x="0" y="0"/>
          <wp:positionH relativeFrom="column">
            <wp:posOffset>2540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71861732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5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D"/>
    <w:rsid w:val="000478E5"/>
    <w:rsid w:val="000F7349"/>
    <w:rsid w:val="00150B36"/>
    <w:rsid w:val="00167E0D"/>
    <w:rsid w:val="00185138"/>
    <w:rsid w:val="00264F03"/>
    <w:rsid w:val="00303A8E"/>
    <w:rsid w:val="00400D2A"/>
    <w:rsid w:val="00416EE5"/>
    <w:rsid w:val="004825E1"/>
    <w:rsid w:val="004E2465"/>
    <w:rsid w:val="00644AEB"/>
    <w:rsid w:val="0068461E"/>
    <w:rsid w:val="006A2C6C"/>
    <w:rsid w:val="006B344A"/>
    <w:rsid w:val="006D083F"/>
    <w:rsid w:val="006E3265"/>
    <w:rsid w:val="00711858"/>
    <w:rsid w:val="00776693"/>
    <w:rsid w:val="007A74AD"/>
    <w:rsid w:val="007D7F16"/>
    <w:rsid w:val="007F1B8C"/>
    <w:rsid w:val="008B0BF3"/>
    <w:rsid w:val="008D3406"/>
    <w:rsid w:val="008D3979"/>
    <w:rsid w:val="009C5A16"/>
    <w:rsid w:val="00A95D16"/>
    <w:rsid w:val="00AD6627"/>
    <w:rsid w:val="00B64BCE"/>
    <w:rsid w:val="00B83565"/>
    <w:rsid w:val="00BC74A8"/>
    <w:rsid w:val="00BC7DA2"/>
    <w:rsid w:val="00C350F1"/>
    <w:rsid w:val="00C70DCD"/>
    <w:rsid w:val="00C81BEE"/>
    <w:rsid w:val="00C90B53"/>
    <w:rsid w:val="00CA1A9A"/>
    <w:rsid w:val="00CB0083"/>
    <w:rsid w:val="00CF5574"/>
    <w:rsid w:val="00D40951"/>
    <w:rsid w:val="00DD3CA2"/>
    <w:rsid w:val="00EC0532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C39A"/>
  <w15:chartTrackingRefBased/>
  <w15:docId w15:val="{20DA5D04-D133-4452-B49A-1BE7CDF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nnlich.cz/g-term/bateriove-system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hennlich.cz/g-term/aktuality/hennlich-prinasi-chytra-bateriova-uloziste-uspory-bez-fotovoltaiky/?utm_source=PR&amp;utm_medium=TZ&amp;utm_campaign=TZ_HENNLICH_2025_06_23_G-TERM+-+bateriov%C3%A1+%C3%BAlo%C5%BEi%C5%A1t%C4%9B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C6D0-169A-44D9-949D-1952040E9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89679C-DF92-4B33-8CCB-D53F38052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348CA-CC19-40DB-958A-9B845282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Marcela</dc:creator>
  <cp:keywords/>
  <dc:description/>
  <cp:lastModifiedBy>Jonáš Martin</cp:lastModifiedBy>
  <cp:revision>2</cp:revision>
  <dcterms:created xsi:type="dcterms:W3CDTF">2025-06-23T13:17:00Z</dcterms:created>
  <dcterms:modified xsi:type="dcterms:W3CDTF">2025-06-23T13:17:00Z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