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33A5" w14:textId="1B371456" w:rsidR="00B655D8" w:rsidRPr="00FB218F" w:rsidRDefault="00B655D8" w:rsidP="00B655D8">
      <w:pPr>
        <w:rPr>
          <w:b/>
          <w:bCs/>
          <w:sz w:val="28"/>
          <w:szCs w:val="28"/>
        </w:rPr>
      </w:pPr>
      <w:r w:rsidRPr="00FB218F">
        <w:rPr>
          <w:b/>
          <w:bCs/>
          <w:sz w:val="28"/>
          <w:szCs w:val="28"/>
        </w:rPr>
        <w:t xml:space="preserve">HENNLICH </w:t>
      </w:r>
      <w:r>
        <w:rPr>
          <w:b/>
          <w:bCs/>
          <w:sz w:val="28"/>
          <w:szCs w:val="28"/>
        </w:rPr>
        <w:t>spouští</w:t>
      </w:r>
      <w:r w:rsidRPr="00FB218F">
        <w:rPr>
          <w:b/>
          <w:bCs/>
          <w:sz w:val="28"/>
          <w:szCs w:val="28"/>
        </w:rPr>
        <w:t xml:space="preserve"> </w:t>
      </w:r>
      <w:r w:rsidRPr="00FF11BA">
        <w:rPr>
          <w:b/>
          <w:bCs/>
          <w:sz w:val="28"/>
          <w:szCs w:val="28"/>
        </w:rPr>
        <w:t xml:space="preserve">dobročinný program: </w:t>
      </w:r>
      <w:r w:rsidR="002958CD">
        <w:rPr>
          <w:b/>
          <w:bCs/>
          <w:sz w:val="28"/>
          <w:szCs w:val="28"/>
        </w:rPr>
        <w:t>P</w:t>
      </w:r>
      <w:r w:rsidRPr="00FF11BA">
        <w:rPr>
          <w:b/>
          <w:bCs/>
          <w:sz w:val="28"/>
          <w:szCs w:val="28"/>
        </w:rPr>
        <w:t>odpoří udržitelnost</w:t>
      </w:r>
      <w:r>
        <w:rPr>
          <w:b/>
          <w:bCs/>
          <w:sz w:val="28"/>
          <w:szCs w:val="28"/>
        </w:rPr>
        <w:t xml:space="preserve"> </w:t>
      </w:r>
    </w:p>
    <w:p w14:paraId="43B3E030" w14:textId="186FE5A2" w:rsidR="00B655D8" w:rsidRDefault="00B655D8" w:rsidP="00B655D8">
      <w:pPr>
        <w:jc w:val="both"/>
        <w:rPr>
          <w:b/>
          <w:bCs/>
        </w:rPr>
      </w:pPr>
      <w:r w:rsidRPr="00FB218F">
        <w:rPr>
          <w:b/>
          <w:bCs/>
        </w:rPr>
        <w:t xml:space="preserve">Litoměřice, </w:t>
      </w:r>
      <w:r>
        <w:rPr>
          <w:b/>
          <w:bCs/>
        </w:rPr>
        <w:t>18</w:t>
      </w:r>
      <w:r w:rsidRPr="00FB218F">
        <w:rPr>
          <w:b/>
          <w:bCs/>
        </w:rPr>
        <w:t xml:space="preserve">. února 2025 – </w:t>
      </w:r>
      <w:r>
        <w:rPr>
          <w:b/>
          <w:bCs/>
        </w:rPr>
        <w:t xml:space="preserve">Podpora po tři roky za sebou s celkovou částkou 90.000 pro pět neziskových projektů – tak v kostce vypadá inovovaný grantový program „Litoměřice – live city jsi ty“ společnosti HENNLICH. Firma se tak po dvaceti letech fungování svého dárcovského fondu rozhodla více akcentovat vyšší a dlouhodobou podporu neziskového sektoru v Litoměřicích, kde sídlí. Při přípravě nové podoby fondu, který byl původně zaměřený na malé projekty mladých lidí, firma spolupracovala </w:t>
      </w:r>
      <w:r w:rsidRPr="00FB218F">
        <w:rPr>
          <w:b/>
          <w:bCs/>
        </w:rPr>
        <w:t>s Ústeckou komunitní nadací</w:t>
      </w:r>
      <w:r>
        <w:rPr>
          <w:b/>
          <w:bCs/>
        </w:rPr>
        <w:t xml:space="preserve">. </w:t>
      </w:r>
    </w:p>
    <w:p w14:paraId="66AC6176" w14:textId="77777777" w:rsidR="00B655D8" w:rsidRPr="00FB218F" w:rsidRDefault="00B655D8" w:rsidP="00B655D8">
      <w:pPr>
        <w:jc w:val="both"/>
        <w:rPr>
          <w:b/>
          <w:bCs/>
        </w:rPr>
      </w:pPr>
      <w:r w:rsidRPr="00FB218F">
        <w:rPr>
          <w:i/>
          <w:iCs/>
        </w:rPr>
        <w:t>„Po 20 letech fungování našeho dárcovského programu jsme usoudili, že nastal čas na inovaci. Náš fond byl nejdéle fungujícím firemním dárcovským fondem při komunitní nadaci. Nyní přicházíme opět s inovací, která – jak pevně věřím – bude hodna následování. Chceme vybraným neziskovým projektům garantovat určitou dlouhodobou stabilitu tím, že je podpoříme po následujících tři roky. Věříme, že náš nový grantový program přinese dlo</w:t>
      </w:r>
      <w:r>
        <w:rPr>
          <w:i/>
          <w:iCs/>
        </w:rPr>
        <w:t>u</w:t>
      </w:r>
      <w:r w:rsidRPr="00FB218F">
        <w:rPr>
          <w:i/>
          <w:iCs/>
        </w:rPr>
        <w:t>hodobý pozitivní dopad na komunitu v Litoměřicích,“</w:t>
      </w:r>
      <w:r w:rsidRPr="00FB218F">
        <w:rPr>
          <w:b/>
          <w:bCs/>
        </w:rPr>
        <w:t xml:space="preserve"> říká Pavel Šumera, jednatel společnosti HENNLICH.</w:t>
      </w:r>
    </w:p>
    <w:p w14:paraId="7E23DC68" w14:textId="77777777" w:rsidR="00B655D8" w:rsidRPr="00B63F5E" w:rsidRDefault="00B655D8" w:rsidP="00B655D8">
      <w:pPr>
        <w:jc w:val="both"/>
      </w:pPr>
      <w:r w:rsidRPr="00B63F5E">
        <w:t>Program se zaměří na podporu technického vzdělávání, zdravého životního stylu i sociálního začlenění zranitelných skupin obyvatel. Je navržen tak, aby pomohl nejen udržet stávající klíčové aktivity, ale také umožnil rozjezd zcela nových projektů, které mohou v Litoměřicích chybět. Dalším cílem je podpora dlouhodobé udržitelnosti žadatelů – nejen tím, že je grant garantován na tři roky, ale například i skrze zlepšení fundraisingových dovedností nebo rozvoj samofinancování.</w:t>
      </w:r>
    </w:p>
    <w:p w14:paraId="40CB7B3E" w14:textId="22DBE121" w:rsidR="00B655D8" w:rsidRPr="00FB218F" w:rsidRDefault="00B655D8" w:rsidP="00B655D8">
      <w:pPr>
        <w:jc w:val="both"/>
        <w:rPr>
          <w:b/>
          <w:bCs/>
        </w:rPr>
      </w:pPr>
      <w:r w:rsidRPr="00B63F5E">
        <w:t>„Naším cílem není jen jednorázově podpořit projekty, ale pomoci jim stát se dlouhodobě udržitelnými. Chceme, aby projekty, které podpoříme, zanechaly trvalý otisk v místní komunitě a přispěly k jejímu rozvoji,“</w:t>
      </w:r>
      <w:r w:rsidRPr="00FB218F">
        <w:rPr>
          <w:b/>
          <w:bCs/>
        </w:rPr>
        <w:t xml:space="preserve"> dodává</w:t>
      </w:r>
      <w:r>
        <w:rPr>
          <w:b/>
          <w:bCs/>
        </w:rPr>
        <w:t xml:space="preserve"> prokuristka firmy Iva Kubačáková, která se podílela na nové strategii fondu.</w:t>
      </w:r>
    </w:p>
    <w:p w14:paraId="5943BDEF" w14:textId="77777777" w:rsidR="00B655D8" w:rsidRPr="00FB218F" w:rsidRDefault="00B655D8" w:rsidP="00B655D8">
      <w:pPr>
        <w:jc w:val="both"/>
        <w:rPr>
          <w:b/>
          <w:bCs/>
        </w:rPr>
      </w:pPr>
      <w:r w:rsidRPr="00FB218F">
        <w:rPr>
          <w:b/>
          <w:bCs/>
        </w:rPr>
        <w:t>Tři klíčové oblasti podpory</w:t>
      </w:r>
    </w:p>
    <w:p w14:paraId="16DA4D72" w14:textId="77777777" w:rsidR="00B655D8" w:rsidRPr="00B63F5E" w:rsidRDefault="00B655D8" w:rsidP="00B655D8">
      <w:pPr>
        <w:jc w:val="both"/>
      </w:pPr>
      <w:r w:rsidRPr="00B63F5E">
        <w:t>Program se zaměřuje na tři hlavní oblasti podpory a těmi jsou technické vzdělávání, zdravý životní styl a sociální oblast. V části technického vzdělávání chce HENNLICH podporovat projekty zaměřené na tvorbu a realizaci vzdělávacích programů, zřízení technických laboratoří, vybavení dílen nebo založení a rozvoj technických klubů či kroužků</w:t>
      </w:r>
      <w:r>
        <w:t xml:space="preserve"> a to nejen pro děti, ale také pro dospělé a seniory</w:t>
      </w:r>
      <w:r w:rsidRPr="00B63F5E">
        <w:t>. V oblasti zdravého životního stylu je to zase podpora sportovních a pohybových aktivit, které přispívají ke zdraví a aktivnímu způsobu života. V sociální části jde o projekty zaměřené na zlepšení kvality života seniorů, osob se zdravotním postižením a lidí v tíživé životní situaci.</w:t>
      </w:r>
    </w:p>
    <w:p w14:paraId="4FD9DD2A" w14:textId="77777777" w:rsidR="00B655D8" w:rsidRPr="00FB218F" w:rsidRDefault="00B655D8" w:rsidP="00B655D8">
      <w:pPr>
        <w:jc w:val="both"/>
        <w:rPr>
          <w:b/>
          <w:bCs/>
        </w:rPr>
      </w:pPr>
      <w:r w:rsidRPr="00FB218F">
        <w:rPr>
          <w:b/>
          <w:bCs/>
        </w:rPr>
        <w:t>Kdo může žádat o grant?</w:t>
      </w:r>
    </w:p>
    <w:p w14:paraId="74066A6C" w14:textId="77777777" w:rsidR="00B655D8" w:rsidRPr="00B63F5E" w:rsidRDefault="00B655D8" w:rsidP="00B655D8">
      <w:pPr>
        <w:jc w:val="both"/>
      </w:pPr>
      <w:r w:rsidRPr="00B63F5E">
        <w:t>Grantová výzva je otevřena široké škále žadatelů</w:t>
      </w:r>
      <w:r>
        <w:t xml:space="preserve"> působících nebo žijících v Litoměřicích</w:t>
      </w:r>
      <w:r w:rsidRPr="00B63F5E">
        <w:t xml:space="preserve">. O podporu mohou žádat neziskové organizace, příspěvkové organizace zřizované obcemi a kraji, neformální občanské iniciativy i jednotlivci. </w:t>
      </w:r>
      <w:r w:rsidRPr="00B63F5E">
        <w:rPr>
          <w:i/>
          <w:iCs/>
        </w:rPr>
        <w:t>„Významným prvkem je možnost podpořit projekty až do výše 80 % jejich celkových nákladů. Zbývající část může být financována formou věcných darů, dobrovolnické práce nebo jiných příspěvků. Tím chceme podpořit fundraisingové aktivity organizací či jednotlivců,“</w:t>
      </w:r>
      <w:r w:rsidRPr="00B63F5E">
        <w:t xml:space="preserve"> říká </w:t>
      </w:r>
      <w:r w:rsidRPr="00B63F5E">
        <w:rPr>
          <w:b/>
          <w:bCs/>
        </w:rPr>
        <w:t>ředitelka Ústecké komunitní nadace Kateřina Valešová.</w:t>
      </w:r>
      <w:r w:rsidRPr="00B63F5E">
        <w:t xml:space="preserve"> </w:t>
      </w:r>
    </w:p>
    <w:p w14:paraId="352DAD18" w14:textId="77777777" w:rsidR="00B655D8" w:rsidRPr="00FB218F" w:rsidRDefault="00B655D8" w:rsidP="00B655D8">
      <w:pPr>
        <w:jc w:val="both"/>
        <w:rPr>
          <w:b/>
          <w:bCs/>
        </w:rPr>
      </w:pPr>
    </w:p>
    <w:p w14:paraId="34562EF0" w14:textId="77777777" w:rsidR="00B655D8" w:rsidRPr="00FB218F" w:rsidRDefault="00B655D8" w:rsidP="00B655D8">
      <w:pPr>
        <w:jc w:val="both"/>
        <w:rPr>
          <w:b/>
          <w:bCs/>
        </w:rPr>
      </w:pPr>
      <w:r w:rsidRPr="00FB218F">
        <w:rPr>
          <w:b/>
          <w:bCs/>
        </w:rPr>
        <w:t>Finanční podpora a harmonogram</w:t>
      </w:r>
    </w:p>
    <w:p w14:paraId="69537005" w14:textId="77777777" w:rsidR="00B655D8" w:rsidRPr="00B63F5E" w:rsidRDefault="00B655D8" w:rsidP="00B655D8">
      <w:pPr>
        <w:jc w:val="both"/>
      </w:pPr>
      <w:r w:rsidRPr="00B63F5E">
        <w:lastRenderedPageBreak/>
        <w:t>Na nadační příspěvky je z Dárcovského fondu HENNLICH vyčleněno celkem 450 000 Kč. Každý z pěti vybraných projektů může získat až 90 000 Kč na tříleté období, přičemž maximální příspěvek v jednom roce činí 30 000 Kč.</w:t>
      </w:r>
      <w:r>
        <w:t xml:space="preserve"> </w:t>
      </w:r>
    </w:p>
    <w:p w14:paraId="40FD70EB" w14:textId="77777777" w:rsidR="00B655D8" w:rsidRPr="00FB218F" w:rsidRDefault="00B655D8" w:rsidP="00B655D8">
      <w:pPr>
        <w:jc w:val="both"/>
        <w:rPr>
          <w:b/>
          <w:bCs/>
        </w:rPr>
      </w:pPr>
      <w:r>
        <w:rPr>
          <w:b/>
          <w:bCs/>
        </w:rPr>
        <w:br/>
      </w:r>
      <w:r w:rsidRPr="00FB218F">
        <w:rPr>
          <w:b/>
          <w:bCs/>
        </w:rPr>
        <w:t>Jednoduchá přihláška online</w:t>
      </w:r>
    </w:p>
    <w:p w14:paraId="55E1BFEF" w14:textId="77777777" w:rsidR="00B655D8" w:rsidRPr="00B63F5E" w:rsidRDefault="00B655D8" w:rsidP="00B655D8">
      <w:pPr>
        <w:jc w:val="both"/>
      </w:pPr>
      <w:r w:rsidRPr="00B63F5E">
        <w:t>Žádosti o grant lze podávat prostřednictvím online formuláře, který bude k dispozici na webových stránkách www.komunitninadace.cz a www.hennlich.cz. Formulář obsahuje i šablonu rozpočtu, která usnadní plánování projektu. Žádosti musí být jasně a srozumitelně napsané, zaměřené na konkrétní cíle a realizované v souladu s vyhlášenými oblastmi podpory.</w:t>
      </w:r>
      <w:r>
        <w:t xml:space="preserve"> </w:t>
      </w:r>
      <w:r w:rsidRPr="0066646F">
        <w:rPr>
          <w:i/>
          <w:iCs/>
        </w:rPr>
        <w:t>„Novinkou je také to, že se na vyhodnocování žádostí budou podílet zaměstnanci firmy,“</w:t>
      </w:r>
      <w:r>
        <w:t xml:space="preserve"> doplnila </w:t>
      </w:r>
      <w:r w:rsidRPr="0066646F">
        <w:rPr>
          <w:b/>
          <w:bCs/>
        </w:rPr>
        <w:t>Kateřina Valešová</w:t>
      </w:r>
      <w:r>
        <w:t>.</w:t>
      </w:r>
    </w:p>
    <w:p w14:paraId="508D287D" w14:textId="77777777" w:rsidR="00B655D8" w:rsidRPr="00FB218F" w:rsidRDefault="00B655D8" w:rsidP="00B655D8">
      <w:pPr>
        <w:jc w:val="both"/>
        <w:rPr>
          <w:b/>
          <w:bCs/>
        </w:rPr>
      </w:pPr>
      <w:r w:rsidRPr="00FB218F">
        <w:rPr>
          <w:b/>
          <w:bCs/>
        </w:rPr>
        <w:t>Podpora místní komunity jako klíčová hodnota</w:t>
      </w:r>
    </w:p>
    <w:p w14:paraId="52571621" w14:textId="77777777" w:rsidR="00B655D8" w:rsidRDefault="00B655D8" w:rsidP="00B655D8">
      <w:pPr>
        <w:jc w:val="both"/>
        <w:rPr>
          <w:i/>
          <w:iCs/>
        </w:rPr>
      </w:pPr>
      <w:r w:rsidRPr="00B63F5E">
        <w:t xml:space="preserve">Pavel Šumera zdůrazňuje význam spolupráce s místními organizacemi: </w:t>
      </w:r>
      <w:r w:rsidRPr="0066646F">
        <w:rPr>
          <w:i/>
          <w:iCs/>
        </w:rPr>
        <w:t>„Litoměřice jsou naším domovem a jsme hrdí na to, že můžeme být součástí jejich rozvoje. Tento grantový program je naší cestou, jak přispět k podpoře rozvoje města, podpořit místní iniciativy a zlepšit kvalitu života jeho obyvatel.“</w:t>
      </w:r>
    </w:p>
    <w:p w14:paraId="71F8DE34" w14:textId="77777777" w:rsidR="00B655D8" w:rsidRPr="00FB218F" w:rsidRDefault="00B655D8" w:rsidP="00B655D8">
      <w:pPr>
        <w:rPr>
          <w:b/>
          <w:bCs/>
        </w:rPr>
      </w:pPr>
      <w:r w:rsidRPr="00FB218F">
        <w:rPr>
          <w:b/>
          <w:bCs/>
        </w:rPr>
        <w:t>Harmonogram grantového programu:</w:t>
      </w:r>
    </w:p>
    <w:p w14:paraId="73717882" w14:textId="77777777" w:rsidR="00B655D8" w:rsidRPr="00B63F5E" w:rsidRDefault="00B655D8" w:rsidP="00B655D8">
      <w:r w:rsidRPr="00B63F5E">
        <w:t>Uzávěrka příjmu žádostí: 1</w:t>
      </w:r>
      <w:r>
        <w:t>5</w:t>
      </w:r>
      <w:r w:rsidRPr="00B63F5E">
        <w:t xml:space="preserve">. </w:t>
      </w:r>
      <w:r>
        <w:t>duben</w:t>
      </w:r>
      <w:r w:rsidRPr="00B63F5E">
        <w:t xml:space="preserve"> 2025</w:t>
      </w:r>
    </w:p>
    <w:p w14:paraId="63290ABC" w14:textId="77777777" w:rsidR="00B655D8" w:rsidRPr="00B63F5E" w:rsidRDefault="00B655D8" w:rsidP="00B655D8">
      <w:r w:rsidRPr="00B63F5E">
        <w:t>Oznámení výsledků: do 9. května 2025</w:t>
      </w:r>
    </w:p>
    <w:p w14:paraId="388DC3B6" w14:textId="77777777" w:rsidR="00B655D8" w:rsidRPr="00B63F5E" w:rsidRDefault="00B655D8" w:rsidP="00B655D8">
      <w:r w:rsidRPr="00B63F5E">
        <w:t>Podpis smluv a převod prostředků: do 31. května 2025</w:t>
      </w:r>
    </w:p>
    <w:p w14:paraId="3199E8CC" w14:textId="77777777" w:rsidR="00B655D8" w:rsidRPr="00B63F5E" w:rsidRDefault="00B655D8" w:rsidP="00B655D8">
      <w:r w:rsidRPr="00B63F5E">
        <w:t>Zahájení realizace projektů: 1. června 2025</w:t>
      </w:r>
    </w:p>
    <w:p w14:paraId="78849F1D" w14:textId="659DF72F" w:rsidR="00B655D8" w:rsidRPr="00B63F5E" w:rsidRDefault="00B655D8" w:rsidP="00B655D8">
      <w:r w:rsidRPr="00B63F5E">
        <w:t>Více informací o programu a podmínkách žádosti naleznete na webových stránkách www.komunitninadace.cz.</w:t>
      </w:r>
    </w:p>
    <w:p w14:paraId="12D926E8" w14:textId="77777777" w:rsidR="00B655D8" w:rsidRPr="00FB218F" w:rsidRDefault="00B655D8" w:rsidP="00B655D8">
      <w:pPr>
        <w:rPr>
          <w:b/>
          <w:bCs/>
        </w:rPr>
      </w:pPr>
      <w:r>
        <w:rPr>
          <w:b/>
          <w:bCs/>
        </w:rPr>
        <w:br/>
      </w:r>
      <w:r w:rsidRPr="00FB218F">
        <w:rPr>
          <w:b/>
          <w:bCs/>
        </w:rPr>
        <w:t>Kontakt pro média:</w:t>
      </w:r>
    </w:p>
    <w:p w14:paraId="2FB64010" w14:textId="77777777" w:rsidR="00B655D8" w:rsidRPr="00FB218F" w:rsidRDefault="00B655D8" w:rsidP="00B655D8">
      <w:pPr>
        <w:rPr>
          <w:b/>
          <w:bCs/>
        </w:rPr>
      </w:pPr>
      <w:r w:rsidRPr="00FB218F">
        <w:rPr>
          <w:b/>
          <w:bCs/>
        </w:rPr>
        <w:t>Martin Jonáš</w:t>
      </w:r>
    </w:p>
    <w:p w14:paraId="7DC47EF9" w14:textId="77777777" w:rsidR="00B655D8" w:rsidRPr="00FB218F" w:rsidRDefault="00B655D8" w:rsidP="00B655D8">
      <w:pPr>
        <w:rPr>
          <w:b/>
          <w:bCs/>
        </w:rPr>
      </w:pPr>
      <w:r w:rsidRPr="00FB218F">
        <w:rPr>
          <w:b/>
          <w:bCs/>
        </w:rPr>
        <w:t>PR manažer</w:t>
      </w:r>
    </w:p>
    <w:p w14:paraId="76481C80" w14:textId="77777777" w:rsidR="00B655D8" w:rsidRPr="00FB218F" w:rsidRDefault="00B655D8" w:rsidP="00B655D8">
      <w:pPr>
        <w:rPr>
          <w:b/>
          <w:bCs/>
        </w:rPr>
      </w:pPr>
      <w:r w:rsidRPr="00FB218F">
        <w:rPr>
          <w:b/>
          <w:bCs/>
        </w:rPr>
        <w:t>HENNLICH s.r.o.</w:t>
      </w:r>
    </w:p>
    <w:p w14:paraId="477A590E" w14:textId="77777777" w:rsidR="00B655D8" w:rsidRPr="00FB218F" w:rsidRDefault="00B655D8" w:rsidP="00B655D8">
      <w:pPr>
        <w:rPr>
          <w:b/>
          <w:bCs/>
        </w:rPr>
      </w:pPr>
      <w:r w:rsidRPr="00FB218F">
        <w:rPr>
          <w:b/>
          <w:bCs/>
        </w:rPr>
        <w:t>Tel: 724 269 811</w:t>
      </w:r>
    </w:p>
    <w:p w14:paraId="3BB73FFC" w14:textId="77777777" w:rsidR="00B655D8" w:rsidRPr="00FB218F" w:rsidRDefault="00B655D8" w:rsidP="00B655D8">
      <w:pPr>
        <w:rPr>
          <w:b/>
          <w:bCs/>
        </w:rPr>
      </w:pPr>
      <w:r w:rsidRPr="00FB218F">
        <w:rPr>
          <w:b/>
          <w:bCs/>
        </w:rPr>
        <w:t>E-mail: jonas@hennlich.cz</w:t>
      </w:r>
    </w:p>
    <w:p w14:paraId="001E6E7B" w14:textId="77777777" w:rsidR="00B655D8" w:rsidRPr="00B655D8" w:rsidRDefault="00B655D8" w:rsidP="00B655D8">
      <w:pPr>
        <w:rPr>
          <w:b/>
          <w:bCs/>
          <w:sz w:val="20"/>
          <w:szCs w:val="20"/>
        </w:rPr>
      </w:pPr>
    </w:p>
    <w:p w14:paraId="2A81268C" w14:textId="77777777" w:rsidR="00B655D8" w:rsidRPr="00B655D8" w:rsidRDefault="00B655D8" w:rsidP="00B655D8">
      <w:pPr>
        <w:rPr>
          <w:b/>
          <w:bCs/>
          <w:sz w:val="20"/>
          <w:szCs w:val="20"/>
        </w:rPr>
      </w:pPr>
      <w:r w:rsidRPr="00B655D8">
        <w:rPr>
          <w:b/>
          <w:bCs/>
          <w:sz w:val="20"/>
          <w:szCs w:val="20"/>
        </w:rPr>
        <w:t>O společnosti HENNLICH s.r.o.:</w:t>
      </w:r>
      <w:r w:rsidRPr="00B655D8">
        <w:rPr>
          <w:rFonts w:eastAsia="Times New Roman" w:cs="Arial"/>
          <w:b/>
          <w:sz w:val="20"/>
          <w:szCs w:val="20"/>
          <w:lang w:eastAsia="cs-CZ"/>
        </w:rPr>
        <w:t xml:space="preserve"> </w:t>
      </w:r>
    </w:p>
    <w:p w14:paraId="37B095BD" w14:textId="77777777" w:rsidR="00B655D8" w:rsidRPr="00B655D8" w:rsidRDefault="00B655D8" w:rsidP="00B655D8">
      <w:pPr>
        <w:rPr>
          <w:sz w:val="20"/>
          <w:szCs w:val="20"/>
        </w:rPr>
      </w:pPr>
      <w:r w:rsidRPr="00B655D8">
        <w:rPr>
          <w:sz w:val="20"/>
          <w:szCs w:val="20"/>
        </w:rPr>
        <w:t xml:space="preserve">Společnost HENNLICH je důležitým partnerem pro společnosti ze strojírenského, automobilového, chemického, papírenského či důlního průmyslu. Bohaté zkušenosti má s dodávkami komponentů i celých systémů pro výrobce oceli, energií, investičních celků a hydrauliky. Zaměřuje se také na dynamicky rostoucí obor životního prostředí, </w:t>
      </w:r>
      <w:r w:rsidRPr="00B655D8">
        <w:rPr>
          <w:sz w:val="20"/>
          <w:szCs w:val="20"/>
        </w:rPr>
        <w:lastRenderedPageBreak/>
        <w:t>zabývá se například instalacemi tepelných čerpadel a fotovoltaických elektráren s bateriovým úložištěm. Na domácím trhu působí od roku 1991.</w:t>
      </w:r>
    </w:p>
    <w:p w14:paraId="0C6D4376" w14:textId="77777777" w:rsidR="00B655D8" w:rsidRPr="00B655D8" w:rsidRDefault="00B655D8" w:rsidP="00B655D8">
      <w:pPr>
        <w:rPr>
          <w:vanish/>
          <w:sz w:val="20"/>
          <w:szCs w:val="20"/>
        </w:rPr>
      </w:pPr>
      <w:r w:rsidRPr="00B655D8">
        <w:rPr>
          <w:sz w:val="20"/>
          <w:szCs w:val="20"/>
        </w:rPr>
        <w:t>Litoměřická firma je součástí evropské skupiny HENNLICH. Historie skupiny HENNLICH sahá do roku 1922, kdy v severočeském Duchcově založil Hermann A. Hennlich firmu specializovanou na dodávky pro strojírenství a doly</w:t>
      </w:r>
    </w:p>
    <w:p w14:paraId="56C1CA80" w14:textId="77777777" w:rsidR="00B655D8" w:rsidRPr="00B655D8" w:rsidRDefault="00B655D8" w:rsidP="00B655D8">
      <w:pPr>
        <w:rPr>
          <w:sz w:val="20"/>
          <w:szCs w:val="20"/>
        </w:rPr>
      </w:pPr>
      <w:r w:rsidRPr="00B655D8">
        <w:rPr>
          <w:sz w:val="20"/>
          <w:szCs w:val="20"/>
        </w:rPr>
        <w:t xml:space="preserve">. Od konce války společnost sídlí v rakouském Schärdingu. Po roce 1989 rozšířila aktivity i do dalších zemí střední a východní Evropy. Se zhruba 800 spolupracovníky působí v 17 evropských zemích. </w:t>
      </w:r>
    </w:p>
    <w:p w14:paraId="63827906" w14:textId="77777777" w:rsidR="00B655D8" w:rsidRPr="00B655D8" w:rsidRDefault="00B655D8" w:rsidP="00B655D8">
      <w:pPr>
        <w:rPr>
          <w:sz w:val="20"/>
          <w:szCs w:val="20"/>
        </w:rPr>
      </w:pPr>
    </w:p>
    <w:p w14:paraId="1F69C3EF" w14:textId="77777777" w:rsidR="00B655D8" w:rsidRPr="00B655D8" w:rsidRDefault="00B655D8" w:rsidP="00B655D8">
      <w:pPr>
        <w:rPr>
          <w:b/>
          <w:bCs/>
          <w:sz w:val="20"/>
          <w:szCs w:val="20"/>
        </w:rPr>
      </w:pPr>
      <w:r w:rsidRPr="00B655D8">
        <w:rPr>
          <w:b/>
          <w:bCs/>
          <w:sz w:val="20"/>
          <w:szCs w:val="20"/>
        </w:rPr>
        <w:t>O Ústecké komunitní nadaci:</w:t>
      </w:r>
    </w:p>
    <w:p w14:paraId="378E58C1" w14:textId="77777777" w:rsidR="00B655D8" w:rsidRPr="00B655D8" w:rsidRDefault="00B655D8" w:rsidP="00B655D8">
      <w:pPr>
        <w:rPr>
          <w:sz w:val="20"/>
          <w:szCs w:val="20"/>
        </w:rPr>
      </w:pPr>
      <w:r w:rsidRPr="00B655D8">
        <w:rPr>
          <w:sz w:val="20"/>
          <w:szCs w:val="20"/>
        </w:rPr>
        <w:t xml:space="preserve">Ústecká komunitní nadace je první českou komunitní nadací, jejíž počátky sahají do roku </w:t>
      </w:r>
      <w:smartTag w:uri="urn:schemas-microsoft-com:office:smarttags" w:element="metricconverter">
        <w:smartTagPr>
          <w:attr w:name="ProductID" w:val="1993 a"/>
        </w:smartTagPr>
        <w:r w:rsidRPr="00B655D8">
          <w:rPr>
            <w:sz w:val="20"/>
            <w:szCs w:val="20"/>
          </w:rPr>
          <w:t>1993 a</w:t>
        </w:r>
      </w:smartTag>
      <w:r w:rsidRPr="00B655D8">
        <w:rPr>
          <w:sz w:val="20"/>
          <w:szCs w:val="20"/>
        </w:rPr>
        <w:t xml:space="preserve"> jedinou otevřeně grantující nadací pro okresy Děčín, Litoměřice, Louny, Teplice a Ústí nad Labem. Komunitní nadace, jako nevládní nezisková organizace, za dobu své činnosti podpořila přes 1 400 projektů v celkové výši přes </w:t>
      </w:r>
      <w:smartTag w:uri="urn:schemas-microsoft-com:office:smarttags" w:element="metricconverter">
        <w:smartTagPr>
          <w:attr w:name="ProductID" w:val="39 mil"/>
        </w:smartTagPr>
        <w:r w:rsidRPr="00B655D8">
          <w:rPr>
            <w:sz w:val="20"/>
            <w:szCs w:val="20"/>
          </w:rPr>
          <w:t>39 mil</w:t>
        </w:r>
      </w:smartTag>
      <w:r w:rsidRPr="00B655D8">
        <w:rPr>
          <w:sz w:val="20"/>
          <w:szCs w:val="20"/>
        </w:rPr>
        <w:t>. Kč a vytvořila nadační jmění ve výši 41 mil. Kč.</w:t>
      </w:r>
    </w:p>
    <w:p w14:paraId="6AEFAF0A" w14:textId="77777777" w:rsidR="00B655D8" w:rsidRPr="00B655D8" w:rsidRDefault="00B655D8" w:rsidP="00B655D8">
      <w:pPr>
        <w:rPr>
          <w:sz w:val="20"/>
          <w:szCs w:val="20"/>
        </w:rPr>
      </w:pPr>
      <w:r w:rsidRPr="00B655D8">
        <w:rPr>
          <w:sz w:val="20"/>
          <w:szCs w:val="20"/>
        </w:rPr>
        <w:t xml:space="preserve">Při své práci klade důraz na maximální profesionalitu a transparentnost – každoročně prochází nezávislým auditem, je signatářem Etického kodexu nadací, je zakládajícím členem Fóra dárců (asociace českých nadací) a Transatlantické sítě komunitních nadací, a dlouhodobě byla podporována jednou z nejvýznamnějších nadací z USA Ch.S. Mott Foundation. </w:t>
      </w:r>
    </w:p>
    <w:sectPr w:rsidR="00B655D8" w:rsidRPr="00B655D8" w:rsidSect="00303A8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269" w:right="849" w:bottom="2268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48501" w14:textId="77777777" w:rsidR="00240596" w:rsidRDefault="00240596" w:rsidP="00416EE5">
      <w:pPr>
        <w:spacing w:after="0" w:line="240" w:lineRule="auto"/>
      </w:pPr>
      <w:r>
        <w:separator/>
      </w:r>
    </w:p>
  </w:endnote>
  <w:endnote w:type="continuationSeparator" w:id="0">
    <w:p w14:paraId="28058A4A" w14:textId="77777777" w:rsidR="00240596" w:rsidRDefault="00240596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70CF" w14:textId="396456CB" w:rsidR="00D40951" w:rsidRDefault="00D40951" w:rsidP="00D40951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A4D744A" w14:textId="0D2A9A78" w:rsidR="00D40951" w:rsidRDefault="00D40951" w:rsidP="00D40951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412 01 Litoměřice  |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Českolipská 9  | </w:t>
    </w:r>
    <w:r w:rsidRPr="004E2465">
      <w:rPr>
        <w:sz w:val="16"/>
        <w:szCs w:val="16"/>
      </w:rPr>
      <w:t xml:space="preserve"> </w:t>
    </w:r>
    <w:r w:rsidR="006A2C6C">
      <w:rPr>
        <w:sz w:val="16"/>
        <w:szCs w:val="16"/>
      </w:rPr>
      <w:t>hennlich</w:t>
    </w:r>
    <w:r w:rsidRPr="00CA1A9A">
      <w:rPr>
        <w:sz w:val="16"/>
        <w:szCs w:val="16"/>
      </w:rPr>
      <w:t>@hennlich.cz</w:t>
    </w:r>
    <w:r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 xml:space="preserve">|  </w:t>
    </w:r>
    <w:r w:rsidRPr="00CA1A9A">
      <w:rPr>
        <w:sz w:val="16"/>
        <w:szCs w:val="16"/>
      </w:rPr>
      <w:t>+420 416 711</w:t>
    </w:r>
    <w:r>
      <w:rPr>
        <w:sz w:val="16"/>
        <w:szCs w:val="16"/>
      </w:rPr>
      <w:t> </w:t>
    </w:r>
    <w:r w:rsidR="006A2C6C">
      <w:rPr>
        <w:sz w:val="16"/>
        <w:szCs w:val="16"/>
      </w:rPr>
      <w:t>111</w:t>
    </w:r>
    <w:r>
      <w:rPr>
        <w:sz w:val="16"/>
        <w:szCs w:val="16"/>
      </w:rPr>
      <w:t xml:space="preserve">  |  </w:t>
    </w:r>
    <w:r w:rsidRPr="000F7349">
      <w:rPr>
        <w:sz w:val="16"/>
        <w:szCs w:val="16"/>
      </w:rPr>
      <w:t>www.hennlich.cz</w:t>
    </w:r>
  </w:p>
  <w:p w14:paraId="68731279" w14:textId="77777777" w:rsidR="00D40951" w:rsidRDefault="00D40951" w:rsidP="00D40951">
    <w:pPr>
      <w:pStyle w:val="Zpa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219892C3" wp14:editId="186158E3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1174264951" name="Přímá spojnice 1174264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7291C4" id="Přímá spojnice 117426495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0F7349">
      <w:rPr>
        <w:sz w:val="16"/>
        <w:szCs w:val="16"/>
      </w:rPr>
      <w:t>Zapsán do obchodního rejstříku u Krajského soudu v Ústí nad Labem v oddíle C, č. vložky 274</w:t>
    </w:r>
  </w:p>
  <w:p w14:paraId="575A99F5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7AC79D0E" w14:textId="77777777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</w:p>
  <w:p w14:paraId="1000A858" w14:textId="49D13ABF" w:rsidR="00D40951" w:rsidRDefault="00D40951" w:rsidP="00D40951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r w:rsidRPr="000F7349">
      <w:rPr>
        <w:sz w:val="16"/>
        <w:szCs w:val="16"/>
      </w:rPr>
      <w:t>UniCredit bank Czech Republic and Slovakia, a.s.</w:t>
    </w:r>
  </w:p>
  <w:p w14:paraId="0446FEC8" w14:textId="7803482D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>CZK č.ú.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>EUR Acct.No.: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>USD Acct.No</w:t>
    </w:r>
    <w:r w:rsidR="00C350F1">
      <w:rPr>
        <w:sz w:val="16"/>
        <w:szCs w:val="16"/>
      </w:rPr>
      <w:t>.:</w:t>
    </w:r>
    <w:r w:rsidRPr="000F7349">
      <w:rPr>
        <w:sz w:val="16"/>
        <w:szCs w:val="16"/>
      </w:rPr>
      <w:t xml:space="preserve"> 671 777 8888/2700</w:t>
    </w:r>
  </w:p>
  <w:p w14:paraId="32A8E4B9" w14:textId="77777777" w:rsid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25A7270D" w14:textId="56E122F6" w:rsidR="00D40951" w:rsidRPr="00D40951" w:rsidRDefault="00D40951" w:rsidP="00D40951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C2EB" w14:textId="39063C6A" w:rsidR="000478E5" w:rsidRDefault="000478E5">
    <w:pPr>
      <w:pStyle w:val="Zpat"/>
      <w:rPr>
        <w:sz w:val="16"/>
        <w:szCs w:val="16"/>
      </w:rPr>
    </w:pPr>
    <w:r w:rsidRPr="000478E5">
      <w:rPr>
        <w:sz w:val="16"/>
        <w:szCs w:val="16"/>
      </w:rPr>
      <w:t>HENNLICH s.r.o.</w:t>
    </w:r>
  </w:p>
  <w:p w14:paraId="54B25F08" w14:textId="47DB6FB0" w:rsidR="000F7349" w:rsidRDefault="004E2465">
    <w:pPr>
      <w:pStyle w:val="Zpat"/>
      <w:rPr>
        <w:sz w:val="16"/>
        <w:szCs w:val="16"/>
      </w:rPr>
    </w:pPr>
    <w:r w:rsidRPr="004E2465">
      <w:rPr>
        <w:sz w:val="16"/>
        <w:szCs w:val="16"/>
      </w:rPr>
      <w:t xml:space="preserve">CZ </w:t>
    </w:r>
    <w:r w:rsidR="00CA1A9A">
      <w:rPr>
        <w:sz w:val="16"/>
        <w:szCs w:val="16"/>
      </w:rPr>
      <w:t>–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>412 01 Litoměřice</w:t>
    </w:r>
    <w:r w:rsidR="006D083F">
      <w:rPr>
        <w:sz w:val="16"/>
        <w:szCs w:val="16"/>
      </w:rPr>
      <w:t xml:space="preserve">  | </w:t>
    </w:r>
    <w:r w:rsidRPr="004E2465">
      <w:rPr>
        <w:sz w:val="16"/>
        <w:szCs w:val="16"/>
      </w:rPr>
      <w:t xml:space="preserve"> </w:t>
    </w:r>
    <w:r w:rsidR="00CA1A9A">
      <w:rPr>
        <w:sz w:val="16"/>
        <w:szCs w:val="16"/>
      </w:rPr>
      <w:t>Českolipská 9</w:t>
    </w:r>
    <w:r w:rsidR="00711858">
      <w:rPr>
        <w:sz w:val="16"/>
        <w:szCs w:val="16"/>
      </w:rPr>
      <w:t xml:space="preserve"> </w:t>
    </w:r>
    <w:r>
      <w:rPr>
        <w:sz w:val="16"/>
        <w:szCs w:val="16"/>
      </w:rPr>
      <w:t xml:space="preserve"> |</w:t>
    </w:r>
    <w:r w:rsidR="00711858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 w:rsidR="006A2C6C">
      <w:rPr>
        <w:sz w:val="16"/>
        <w:szCs w:val="16"/>
      </w:rPr>
      <w:t>hennlich</w:t>
    </w:r>
    <w:r w:rsidR="00CA1A9A" w:rsidRPr="00CA1A9A">
      <w:rPr>
        <w:sz w:val="16"/>
        <w:szCs w:val="16"/>
      </w:rPr>
      <w:t>@hennlich.cz</w:t>
    </w:r>
    <w:r w:rsidR="00CA1A9A">
      <w:rPr>
        <w:sz w:val="16"/>
        <w:szCs w:val="16"/>
      </w:rPr>
      <w:t xml:space="preserve"> </w:t>
    </w:r>
    <w:r w:rsidRPr="004E2465">
      <w:rPr>
        <w:sz w:val="16"/>
        <w:szCs w:val="16"/>
      </w:rPr>
      <w:t xml:space="preserve"> </w:t>
    </w:r>
    <w:r>
      <w:rPr>
        <w:sz w:val="16"/>
        <w:szCs w:val="16"/>
      </w:rPr>
      <w:t>|</w:t>
    </w:r>
    <w:r w:rsidR="00CA1A9A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CA1A9A" w:rsidRPr="00CA1A9A">
      <w:rPr>
        <w:sz w:val="16"/>
        <w:szCs w:val="16"/>
      </w:rPr>
      <w:t>+420 416 711</w:t>
    </w:r>
    <w:r w:rsidR="00CA1A9A">
      <w:rPr>
        <w:sz w:val="16"/>
        <w:szCs w:val="16"/>
      </w:rPr>
      <w:t> </w:t>
    </w:r>
    <w:r w:rsidR="006A2C6C">
      <w:rPr>
        <w:sz w:val="16"/>
        <w:szCs w:val="16"/>
      </w:rPr>
      <w:t>111</w:t>
    </w:r>
    <w:r w:rsidR="00CA1A9A">
      <w:rPr>
        <w:sz w:val="16"/>
        <w:szCs w:val="16"/>
      </w:rPr>
      <w:t xml:space="preserve">  |  </w:t>
    </w:r>
    <w:r w:rsidR="00CA1A9A" w:rsidRPr="000F7349">
      <w:rPr>
        <w:sz w:val="16"/>
        <w:szCs w:val="16"/>
      </w:rPr>
      <w:t>www.hennlich.cz</w:t>
    </w:r>
    <w:r w:rsidR="00BC7DA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400A7D3" wp14:editId="352F521E">
              <wp:simplePos x="0" y="0"/>
              <wp:positionH relativeFrom="page">
                <wp:posOffset>0</wp:posOffset>
              </wp:positionH>
              <wp:positionV relativeFrom="page">
                <wp:posOffset>9759315</wp:posOffset>
              </wp:positionV>
              <wp:extent cx="755586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5865" cy="0"/>
                      </a:xfrm>
                      <a:prstGeom prst="line">
                        <a:avLst/>
                      </a:prstGeom>
                      <a:ln>
                        <a:solidFill>
                          <a:srgbClr val="00A87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B8843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68.45pt" to="594.95pt,7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" strokecolor="#00a870" strokeweight="1pt">
              <v:stroke joinstyle="miter"/>
              <w10:wrap anchorx="page" anchory="page"/>
              <w10:anchorlock/>
            </v:line>
          </w:pict>
        </mc:Fallback>
      </mc:AlternateContent>
    </w:r>
    <w:r w:rsidR="006A2C6C">
      <w:rPr>
        <w:sz w:val="16"/>
        <w:szCs w:val="16"/>
      </w:rPr>
      <w:br/>
      <w:t>Z</w:t>
    </w:r>
    <w:r w:rsidR="000F7349" w:rsidRPr="000F7349">
      <w:rPr>
        <w:sz w:val="16"/>
        <w:szCs w:val="16"/>
      </w:rPr>
      <w:t>apsán do obchodního rejstříku u Krajského soudu v Ústí nad Labem v oddíle C, č. vložky 274</w:t>
    </w:r>
  </w:p>
  <w:p w14:paraId="59F4AB64" w14:textId="77777777" w:rsidR="000F7349" w:rsidRDefault="000F7349">
    <w:pPr>
      <w:pStyle w:val="Zpat"/>
      <w:rPr>
        <w:sz w:val="16"/>
        <w:szCs w:val="16"/>
      </w:rPr>
    </w:pPr>
  </w:p>
  <w:p w14:paraId="1A601457" w14:textId="77777777" w:rsidR="000F7349" w:rsidRDefault="000F7349">
    <w:pPr>
      <w:pStyle w:val="Zpat"/>
      <w:rPr>
        <w:sz w:val="16"/>
        <w:szCs w:val="16"/>
      </w:rPr>
    </w:pPr>
  </w:p>
  <w:p w14:paraId="72F90E7E" w14:textId="77777777" w:rsidR="000F7349" w:rsidRDefault="000F7349" w:rsidP="000F7349">
    <w:pPr>
      <w:pStyle w:val="Zpat"/>
      <w:tabs>
        <w:tab w:val="left" w:pos="1701"/>
      </w:tabs>
      <w:rPr>
        <w:sz w:val="16"/>
        <w:szCs w:val="16"/>
      </w:rPr>
    </w:pPr>
    <w:r w:rsidRPr="000F7349">
      <w:rPr>
        <w:sz w:val="16"/>
        <w:szCs w:val="16"/>
      </w:rPr>
      <w:t>IČO: 14869446</w:t>
    </w:r>
    <w:r>
      <w:rPr>
        <w:sz w:val="16"/>
        <w:szCs w:val="16"/>
      </w:rPr>
      <w:tab/>
    </w:r>
    <w:r w:rsidRPr="000F7349">
      <w:rPr>
        <w:sz w:val="16"/>
        <w:szCs w:val="16"/>
      </w:rPr>
      <w:t>UniCredit bank Czech Republic and Slovakia, a.s.</w:t>
    </w:r>
  </w:p>
  <w:p w14:paraId="57ADDD26" w14:textId="30F4CC40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 w:rsidRPr="000F7349">
      <w:rPr>
        <w:sz w:val="16"/>
        <w:szCs w:val="16"/>
      </w:rPr>
      <w:t>DIČ: CZ14869446</w:t>
    </w:r>
    <w:r>
      <w:rPr>
        <w:sz w:val="16"/>
        <w:szCs w:val="16"/>
      </w:rPr>
      <w:tab/>
    </w:r>
    <w:r w:rsidRPr="000F7349">
      <w:rPr>
        <w:sz w:val="16"/>
        <w:szCs w:val="16"/>
      </w:rPr>
      <w:t>CZK č.ú.</w:t>
    </w:r>
    <w:r w:rsidR="00C350F1">
      <w:rPr>
        <w:sz w:val="16"/>
        <w:szCs w:val="16"/>
      </w:rPr>
      <w:t>:</w:t>
    </w:r>
    <w:r w:rsidRPr="000F7349">
      <w:rPr>
        <w:sz w:val="16"/>
        <w:szCs w:val="16"/>
      </w:rPr>
      <w:t xml:space="preserve"> 671 777 8001/2700</w:t>
    </w:r>
    <w:r>
      <w:rPr>
        <w:sz w:val="16"/>
        <w:szCs w:val="16"/>
      </w:rPr>
      <w:tab/>
    </w:r>
    <w:r w:rsidRPr="000F7349">
      <w:rPr>
        <w:sz w:val="16"/>
        <w:szCs w:val="16"/>
      </w:rPr>
      <w:t>EUR Acct.No.: 671 777 8212/2700</w:t>
    </w:r>
    <w:r>
      <w:rPr>
        <w:sz w:val="16"/>
        <w:szCs w:val="16"/>
      </w:rPr>
      <w:tab/>
    </w:r>
    <w:r w:rsidRPr="000F7349">
      <w:rPr>
        <w:sz w:val="16"/>
        <w:szCs w:val="16"/>
      </w:rPr>
      <w:t>USD Acct.No.: 671 777 8888/2700</w:t>
    </w:r>
  </w:p>
  <w:p w14:paraId="4409F1DE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IBAN CZ5727000000006717778001</w:t>
    </w:r>
    <w:r>
      <w:rPr>
        <w:sz w:val="16"/>
        <w:szCs w:val="16"/>
      </w:rPr>
      <w:tab/>
    </w:r>
    <w:r w:rsidRPr="000F7349">
      <w:rPr>
        <w:sz w:val="16"/>
        <w:szCs w:val="16"/>
      </w:rPr>
      <w:t>IBAN CZ8327000000006717778212</w:t>
    </w:r>
    <w:r>
      <w:rPr>
        <w:sz w:val="16"/>
        <w:szCs w:val="16"/>
      </w:rPr>
      <w:tab/>
    </w:r>
    <w:r w:rsidRPr="000F7349">
      <w:rPr>
        <w:sz w:val="16"/>
        <w:szCs w:val="16"/>
      </w:rPr>
      <w:t>IBAN: CZ6727000000006717778888</w:t>
    </w:r>
  </w:p>
  <w:p w14:paraId="4C909D2D" w14:textId="77777777" w:rsidR="000F7349" w:rsidRDefault="000F7349" w:rsidP="000F7349">
    <w:pPr>
      <w:pStyle w:val="Zpat"/>
      <w:tabs>
        <w:tab w:val="left" w:pos="1701"/>
        <w:tab w:val="left" w:pos="4536"/>
        <w:tab w:val="left" w:pos="7371"/>
      </w:tabs>
      <w:rPr>
        <w:sz w:val="16"/>
        <w:szCs w:val="16"/>
      </w:rPr>
    </w:pP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 BACXCZPP</w:t>
    </w:r>
    <w:r>
      <w:rPr>
        <w:sz w:val="16"/>
        <w:szCs w:val="16"/>
      </w:rPr>
      <w:tab/>
    </w:r>
    <w:r w:rsidRPr="000F7349">
      <w:rPr>
        <w:sz w:val="16"/>
        <w:szCs w:val="16"/>
      </w:rPr>
      <w:t>SWIFT: BACXCZPP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9CFF" w14:textId="77777777" w:rsidR="00240596" w:rsidRDefault="00240596" w:rsidP="00416EE5">
      <w:pPr>
        <w:spacing w:after="0" w:line="240" w:lineRule="auto"/>
      </w:pPr>
      <w:r>
        <w:separator/>
      </w:r>
    </w:p>
  </w:footnote>
  <w:footnote w:type="continuationSeparator" w:id="0">
    <w:p w14:paraId="7320B07B" w14:textId="77777777" w:rsidR="00240596" w:rsidRDefault="00240596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A7348" w14:textId="1A9665A2" w:rsidR="007A74AD" w:rsidRDefault="006A2C6C" w:rsidP="007A74AD">
    <w:pPr>
      <w:pStyle w:val="Zhlav"/>
      <w:ind w:right="5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3CFA60" wp14:editId="232F12E1">
              <wp:simplePos x="0" y="0"/>
              <wp:positionH relativeFrom="page">
                <wp:posOffset>438150</wp:posOffset>
              </wp:positionH>
              <wp:positionV relativeFrom="page">
                <wp:posOffset>542925</wp:posOffset>
              </wp:positionV>
              <wp:extent cx="5057775" cy="758190"/>
              <wp:effectExtent l="0" t="0" r="0" b="3810"/>
              <wp:wrapNone/>
              <wp:docPr id="1691349568" name="Textové pole 1691349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FE0C" w14:textId="77777777" w:rsidR="00B655D8" w:rsidRPr="000355B9" w:rsidRDefault="00B655D8" w:rsidP="00B655D8">
                          <w:pPr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0355B9">
                            <w:rPr>
                              <w:rFonts w:cs="Arial"/>
                              <w:b/>
                              <w:sz w:val="28"/>
                            </w:rPr>
                            <w:t>TISKOVÁ ZPRÁVA HENNLICH s.r.o.</w:t>
                          </w:r>
                        </w:p>
                        <w:p w14:paraId="40E9D745" w14:textId="7E0F01CF" w:rsidR="007A74AD" w:rsidRPr="00167E0D" w:rsidRDefault="00B655D8" w:rsidP="007A74AD">
                          <w:pPr>
                            <w:pStyle w:val="Vc"/>
                            <w:tabs>
                              <w:tab w:val="clear" w:pos="2534"/>
                            </w:tabs>
                          </w:pPr>
                          <w:fldSimple w:instr=" DATE  \* MERGEFORMAT ">
                            <w:r w:rsidR="002958CD">
                              <w:rPr>
                                <w:noProof/>
                              </w:rPr>
                              <w:t>13.02.2025</w:t>
                            </w:r>
                          </w:fldSimple>
                        </w:p>
                        <w:p w14:paraId="65F44D1A" w14:textId="185AD13E" w:rsidR="007A74AD" w:rsidRPr="00167E0D" w:rsidRDefault="007A74AD" w:rsidP="007A74AD">
                          <w:pPr>
                            <w:pStyle w:val="Vc"/>
                            <w:tabs>
                              <w:tab w:val="clear" w:pos="2534"/>
                            </w:tabs>
                          </w:pPr>
                          <w:r w:rsidRPr="00167E0D">
                            <w:t xml:space="preserve">Strana č. </w:t>
                          </w:r>
                          <w:r w:rsidRPr="00167E0D">
                            <w:rPr>
                              <w:rStyle w:val="slostrnky"/>
                            </w:rPr>
                            <w:fldChar w:fldCharType="begin"/>
                          </w:r>
                          <w:r w:rsidRPr="00167E0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 w:rsidRPr="00167E0D">
                            <w:rPr>
                              <w:rStyle w:val="slostrnky"/>
                            </w:rPr>
                            <w:fldChar w:fldCharType="separate"/>
                          </w:r>
                          <w:r w:rsidRPr="00167E0D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167E0D"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CFA60" id="_x0000_t202" coordsize="21600,21600" o:spt="202" path="m,l,21600r21600,l21600,xe">
              <v:stroke joinstyle="miter"/>
              <v:path gradientshapeok="t" o:connecttype="rect"/>
            </v:shapetype>
            <v:shape id="Textové pole 1691349568" o:spid="_x0000_s1026" type="#_x0000_t202" style="position:absolute;margin-left:34.5pt;margin-top:42.75pt;width:398.25pt;height:5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" filled="f" stroked="f">
              <v:textbox>
                <w:txbxContent>
                  <w:p w14:paraId="1FCCFE0C" w14:textId="77777777" w:rsidR="00B655D8" w:rsidRPr="000355B9" w:rsidRDefault="00B655D8" w:rsidP="00B655D8">
                    <w:pPr>
                      <w:rPr>
                        <w:rFonts w:cs="Arial"/>
                        <w:b/>
                        <w:sz w:val="28"/>
                      </w:rPr>
                    </w:pPr>
                    <w:r w:rsidRPr="000355B9">
                      <w:rPr>
                        <w:rFonts w:cs="Arial"/>
                        <w:b/>
                        <w:sz w:val="28"/>
                      </w:rPr>
                      <w:t>TISKOVÁ ZPRÁVA HENNLICH s.r.o.</w:t>
                    </w:r>
                  </w:p>
                  <w:p w14:paraId="40E9D745" w14:textId="7E0F01CF" w:rsidR="007A74AD" w:rsidRPr="00167E0D" w:rsidRDefault="00B655D8" w:rsidP="007A74AD">
                    <w:pPr>
                      <w:pStyle w:val="Vc"/>
                      <w:tabs>
                        <w:tab w:val="clear" w:pos="2534"/>
                      </w:tabs>
                    </w:pPr>
                    <w:fldSimple w:instr=" DATE  \* MERGEFORMAT ">
                      <w:r w:rsidR="002958CD">
                        <w:rPr>
                          <w:noProof/>
                        </w:rPr>
                        <w:t>13.02.2025</w:t>
                      </w:r>
                    </w:fldSimple>
                  </w:p>
                  <w:p w14:paraId="65F44D1A" w14:textId="185AD13E" w:rsidR="007A74AD" w:rsidRPr="00167E0D" w:rsidRDefault="007A74AD" w:rsidP="007A74AD">
                    <w:pPr>
                      <w:pStyle w:val="Vc"/>
                      <w:tabs>
                        <w:tab w:val="clear" w:pos="2534"/>
                      </w:tabs>
                    </w:pPr>
                    <w:r w:rsidRPr="00167E0D">
                      <w:t xml:space="preserve">Strana č. </w:t>
                    </w:r>
                    <w:r w:rsidRPr="00167E0D">
                      <w:rPr>
                        <w:rStyle w:val="slostrnky"/>
                      </w:rPr>
                      <w:fldChar w:fldCharType="begin"/>
                    </w:r>
                    <w:r w:rsidRPr="00167E0D">
                      <w:rPr>
                        <w:rStyle w:val="slostrnky"/>
                      </w:rPr>
                      <w:instrText xml:space="preserve"> PAGE </w:instrText>
                    </w:r>
                    <w:r w:rsidRPr="00167E0D">
                      <w:rPr>
                        <w:rStyle w:val="slostrnky"/>
                      </w:rPr>
                      <w:fldChar w:fldCharType="separate"/>
                    </w:r>
                    <w:r w:rsidRPr="00167E0D">
                      <w:rPr>
                        <w:rStyle w:val="slostrnky"/>
                        <w:noProof/>
                      </w:rPr>
                      <w:t>1</w:t>
                    </w:r>
                    <w:r w:rsidRPr="00167E0D"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72576" behindDoc="0" locked="0" layoutInCell="1" allowOverlap="1" wp14:anchorId="4BB1AA95" wp14:editId="16C5B752">
          <wp:simplePos x="0" y="0"/>
          <wp:positionH relativeFrom="column">
            <wp:posOffset>5317490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1790353599" name="Obrázek 6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737066" name="Obrázek 6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3FED5" w14:textId="73333923" w:rsidR="00F72E3B" w:rsidRDefault="006A2C6C" w:rsidP="004825E1">
    <w:pPr>
      <w:pStyle w:val="Zhlav"/>
      <w:tabs>
        <w:tab w:val="clear" w:pos="4536"/>
        <w:tab w:val="clear" w:pos="9072"/>
        <w:tab w:val="left" w:pos="7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5B9E9" wp14:editId="39E43790">
              <wp:simplePos x="0" y="0"/>
              <wp:positionH relativeFrom="page">
                <wp:posOffset>1990725</wp:posOffset>
              </wp:positionH>
              <wp:positionV relativeFrom="page">
                <wp:posOffset>533400</wp:posOffset>
              </wp:positionV>
              <wp:extent cx="5094605" cy="758190"/>
              <wp:effectExtent l="0" t="0" r="0" b="381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4605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1CA97" w14:textId="77777777" w:rsidR="00B655D8" w:rsidRPr="000355B9" w:rsidRDefault="00B655D8" w:rsidP="00B655D8">
                          <w:pPr>
                            <w:jc w:val="right"/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0355B9">
                            <w:rPr>
                              <w:rFonts w:cs="Arial"/>
                              <w:b/>
                              <w:sz w:val="28"/>
                            </w:rPr>
                            <w:t>TISKOVÁ ZPRÁVA HENNLICH s.r.o.</w:t>
                          </w:r>
                        </w:p>
                        <w:p w14:paraId="1FFFDDB5" w14:textId="4F0C5EC9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  <w:t xml:space="preserve"> </w:t>
                          </w:r>
                          <w:fldSimple w:instr=" DATE  \* MERGEFORMAT ">
                            <w:r w:rsidR="002958CD">
                              <w:rPr>
                                <w:noProof/>
                              </w:rPr>
                              <w:t>13.02.2025</w:t>
                            </w:r>
                          </w:fldSimple>
                        </w:p>
                        <w:p w14:paraId="35E930B0" w14:textId="77777777" w:rsidR="00EC0532" w:rsidRPr="00167E0D" w:rsidRDefault="00EC0532" w:rsidP="007A74AD">
                          <w:pPr>
                            <w:pStyle w:val="Vc"/>
                            <w:jc w:val="right"/>
                          </w:pPr>
                          <w:r w:rsidRPr="00167E0D">
                            <w:tab/>
                            <w:t xml:space="preserve">Strana č. </w:t>
                          </w:r>
                          <w:r w:rsidRPr="00167E0D">
                            <w:rPr>
                              <w:rStyle w:val="slostrnky"/>
                            </w:rPr>
                            <w:fldChar w:fldCharType="begin"/>
                          </w:r>
                          <w:r w:rsidRPr="00167E0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 w:rsidRPr="00167E0D">
                            <w:rPr>
                              <w:rStyle w:val="slostrnky"/>
                            </w:rPr>
                            <w:fldChar w:fldCharType="separate"/>
                          </w:r>
                          <w:r w:rsidRPr="00167E0D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167E0D"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5B9E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style="position:absolute;margin-left:156.75pt;margin-top:42pt;width:401.15pt;height:59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Fp4wEAAKg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" filled="f" stroked="f">
              <v:textbox>
                <w:txbxContent>
                  <w:p w14:paraId="22F1CA97" w14:textId="77777777" w:rsidR="00B655D8" w:rsidRPr="000355B9" w:rsidRDefault="00B655D8" w:rsidP="00B655D8">
                    <w:pPr>
                      <w:jc w:val="right"/>
                      <w:rPr>
                        <w:rFonts w:cs="Arial"/>
                        <w:b/>
                        <w:sz w:val="28"/>
                      </w:rPr>
                    </w:pPr>
                    <w:r w:rsidRPr="000355B9">
                      <w:rPr>
                        <w:rFonts w:cs="Arial"/>
                        <w:b/>
                        <w:sz w:val="28"/>
                      </w:rPr>
                      <w:t>TISKOVÁ ZPRÁVA HENNLICH s.r.o.</w:t>
                    </w:r>
                  </w:p>
                  <w:p w14:paraId="1FFFDDB5" w14:textId="4F0C5EC9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  <w:t xml:space="preserve"> </w:t>
                    </w:r>
                    <w:fldSimple w:instr=" DATE  \* MERGEFORMAT ">
                      <w:r w:rsidR="002958CD">
                        <w:rPr>
                          <w:noProof/>
                        </w:rPr>
                        <w:t>13.02.2025</w:t>
                      </w:r>
                    </w:fldSimple>
                  </w:p>
                  <w:p w14:paraId="35E930B0" w14:textId="77777777" w:rsidR="00EC0532" w:rsidRPr="00167E0D" w:rsidRDefault="00EC0532" w:rsidP="007A74AD">
                    <w:pPr>
                      <w:pStyle w:val="Vc"/>
                      <w:jc w:val="right"/>
                    </w:pPr>
                    <w:r w:rsidRPr="00167E0D">
                      <w:tab/>
                      <w:t xml:space="preserve">Strana č. </w:t>
                    </w:r>
                    <w:r w:rsidRPr="00167E0D">
                      <w:rPr>
                        <w:rStyle w:val="slostrnky"/>
                      </w:rPr>
                      <w:fldChar w:fldCharType="begin"/>
                    </w:r>
                    <w:r w:rsidRPr="00167E0D">
                      <w:rPr>
                        <w:rStyle w:val="slostrnky"/>
                      </w:rPr>
                      <w:instrText xml:space="preserve"> PAGE </w:instrText>
                    </w:r>
                    <w:r w:rsidRPr="00167E0D">
                      <w:rPr>
                        <w:rStyle w:val="slostrnky"/>
                      </w:rPr>
                      <w:fldChar w:fldCharType="separate"/>
                    </w:r>
                    <w:r w:rsidRPr="00167E0D">
                      <w:rPr>
                        <w:rStyle w:val="slostrnky"/>
                        <w:noProof/>
                      </w:rPr>
                      <w:t>1</w:t>
                    </w:r>
                    <w:r w:rsidRPr="00167E0D"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0083">
      <w:rPr>
        <w:noProof/>
      </w:rPr>
      <w:drawing>
        <wp:anchor distT="0" distB="0" distL="114300" distR="114300" simplePos="0" relativeHeight="251659263" behindDoc="0" locked="0" layoutInCell="1" allowOverlap="1" wp14:anchorId="3AE9424C" wp14:editId="0F23DCFE">
          <wp:simplePos x="0" y="0"/>
          <wp:positionH relativeFrom="column">
            <wp:posOffset>2540</wp:posOffset>
          </wp:positionH>
          <wp:positionV relativeFrom="paragraph">
            <wp:posOffset>-278765</wp:posOffset>
          </wp:positionV>
          <wp:extent cx="1152525" cy="1152525"/>
          <wp:effectExtent l="0" t="0" r="9525" b="9525"/>
          <wp:wrapNone/>
          <wp:docPr id="718617329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5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AD"/>
    <w:rsid w:val="000478E5"/>
    <w:rsid w:val="000F7349"/>
    <w:rsid w:val="00150B36"/>
    <w:rsid w:val="00167E0D"/>
    <w:rsid w:val="00185138"/>
    <w:rsid w:val="00240596"/>
    <w:rsid w:val="00264F03"/>
    <w:rsid w:val="00292A52"/>
    <w:rsid w:val="002958CD"/>
    <w:rsid w:val="00303A8E"/>
    <w:rsid w:val="00400D2A"/>
    <w:rsid w:val="00416EE5"/>
    <w:rsid w:val="004825E1"/>
    <w:rsid w:val="004E2465"/>
    <w:rsid w:val="00611D41"/>
    <w:rsid w:val="00644AEB"/>
    <w:rsid w:val="0068461E"/>
    <w:rsid w:val="006A2C6C"/>
    <w:rsid w:val="006B344A"/>
    <w:rsid w:val="006D083F"/>
    <w:rsid w:val="006E3265"/>
    <w:rsid w:val="00711858"/>
    <w:rsid w:val="00776693"/>
    <w:rsid w:val="007A74AD"/>
    <w:rsid w:val="007D7F16"/>
    <w:rsid w:val="007F1B8C"/>
    <w:rsid w:val="008B0BF3"/>
    <w:rsid w:val="008D3979"/>
    <w:rsid w:val="009C5A16"/>
    <w:rsid w:val="00A95D16"/>
    <w:rsid w:val="00AD6627"/>
    <w:rsid w:val="00B64BCE"/>
    <w:rsid w:val="00B655D8"/>
    <w:rsid w:val="00B83565"/>
    <w:rsid w:val="00BC74A8"/>
    <w:rsid w:val="00BC7DA2"/>
    <w:rsid w:val="00C350F1"/>
    <w:rsid w:val="00C70DCD"/>
    <w:rsid w:val="00C81BEE"/>
    <w:rsid w:val="00CA1A9A"/>
    <w:rsid w:val="00CB0083"/>
    <w:rsid w:val="00CF5574"/>
    <w:rsid w:val="00D40951"/>
    <w:rsid w:val="00DD3CA2"/>
    <w:rsid w:val="00EC0532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65C39A"/>
  <w15:chartTrackingRefBased/>
  <w15:docId w15:val="{20DA5D04-D133-4452-B49A-1BE7CDF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E0D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3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1B8771FF2F64885AD050FD6E69486" ma:contentTypeVersion="0" ma:contentTypeDescription="Vytvoří nový dokument" ma:contentTypeScope="" ma:versionID="7ef15b28a06d21d6b99f324380bf0c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7C6D0-169A-44D9-949D-1952040E9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C5DC8-3159-4549-869C-FD7242EEC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348CA-CC19-40DB-958A-9B845282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89679C-DF92-4B33-8CCB-D53F38052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Pažoutová Marcela</dc:creator>
  <cp:keywords/>
  <dc:description/>
  <cp:lastModifiedBy>Jonáš Martin</cp:lastModifiedBy>
  <cp:revision>3</cp:revision>
  <dcterms:created xsi:type="dcterms:W3CDTF">2025-02-13T12:35:00Z</dcterms:created>
  <dcterms:modified xsi:type="dcterms:W3CDTF">2025-02-13T14:29:00Z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0x0101008811B8771FF2F64885AD050FD6E69486</vt:lpwstr>
  </property>
</Properties>
</file>