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151" w14:textId="6504B241" w:rsidR="007A3DAC" w:rsidRDefault="00A70535" w:rsidP="007A3DAC">
      <w:pPr>
        <w:rPr>
          <w:b/>
          <w:bCs/>
          <w:sz w:val="28"/>
          <w:szCs w:val="28"/>
        </w:rPr>
      </w:pPr>
      <w:bookmarkStart w:id="0" w:name="_Hlk188275423"/>
      <w:r>
        <w:rPr>
          <w:b/>
          <w:bCs/>
          <w:sz w:val="28"/>
          <w:szCs w:val="28"/>
        </w:rPr>
        <w:t>HENNLICH</w:t>
      </w:r>
      <w:r w:rsidR="00C458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 w:rsidR="00C458F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igus</w:t>
      </w:r>
      <w:proofErr w:type="spellEnd"/>
      <w:r w:rsidR="00C458F9">
        <w:rPr>
          <w:b/>
          <w:bCs/>
          <w:sz w:val="28"/>
          <w:szCs w:val="28"/>
        </w:rPr>
        <w:t xml:space="preserve"> vyhlásily s</w:t>
      </w:r>
      <w:r>
        <w:rPr>
          <w:b/>
          <w:bCs/>
          <w:sz w:val="28"/>
          <w:szCs w:val="28"/>
        </w:rPr>
        <w:t>outěž pro aplikace energetických řetězů</w:t>
      </w:r>
    </w:p>
    <w:p w14:paraId="31B49A11" w14:textId="0A34F249" w:rsidR="00C458F9" w:rsidRPr="00C458F9" w:rsidRDefault="00C458F9" w:rsidP="00C458F9">
      <w:pPr>
        <w:jc w:val="both"/>
        <w:rPr>
          <w:b/>
          <w:bCs/>
        </w:rPr>
      </w:pPr>
      <w:r w:rsidRPr="00C458F9">
        <w:rPr>
          <w:b/>
          <w:bCs/>
        </w:rPr>
        <w:t xml:space="preserve">Litoměřice/Kolín nad Rýnem, 13.11. 2025 – Firmy HENNLICH a </w:t>
      </w:r>
      <w:proofErr w:type="spellStart"/>
      <w:r w:rsidRPr="00C458F9">
        <w:rPr>
          <w:b/>
          <w:bCs/>
        </w:rPr>
        <w:t>igus</w:t>
      </w:r>
      <w:proofErr w:type="spellEnd"/>
      <w:r w:rsidRPr="00C458F9">
        <w:rPr>
          <w:b/>
          <w:bCs/>
        </w:rPr>
        <w:t xml:space="preserve"> vyhlásily jubilejní desátý ročník mezinárodní soutěže, která </w:t>
      </w:r>
      <w:r w:rsidRPr="00C458F9">
        <w:rPr>
          <w:b/>
          <w:bCs/>
        </w:rPr>
        <w:t>oceňuje kreativní využití energetických řetězů pro vedení kabelů</w:t>
      </w:r>
      <w:r w:rsidRPr="00C458F9">
        <w:rPr>
          <w:b/>
          <w:bCs/>
        </w:rPr>
        <w:t xml:space="preserve"> v zajímavých aplikacích – </w:t>
      </w:r>
      <w:proofErr w:type="spellStart"/>
      <w:r w:rsidRPr="00C458F9">
        <w:rPr>
          <w:b/>
          <w:bCs/>
        </w:rPr>
        <w:t>Vector</w:t>
      </w:r>
      <w:proofErr w:type="spellEnd"/>
      <w:r w:rsidRPr="00C458F9">
        <w:rPr>
          <w:b/>
          <w:bCs/>
        </w:rPr>
        <w:t xml:space="preserve"> </w:t>
      </w:r>
      <w:proofErr w:type="spellStart"/>
      <w:r w:rsidRPr="00C458F9">
        <w:rPr>
          <w:b/>
          <w:bCs/>
        </w:rPr>
        <w:t>Award</w:t>
      </w:r>
      <w:proofErr w:type="spellEnd"/>
      <w:r w:rsidRPr="00C458F9">
        <w:rPr>
          <w:b/>
          <w:bCs/>
        </w:rPr>
        <w:t xml:space="preserve"> 2026. </w:t>
      </w:r>
      <w:r w:rsidRPr="00C458F9">
        <w:rPr>
          <w:b/>
          <w:bCs/>
        </w:rPr>
        <w:t xml:space="preserve">Přihlašovací část soutěže </w:t>
      </w:r>
      <w:r w:rsidRPr="00C458F9">
        <w:rPr>
          <w:b/>
          <w:bCs/>
        </w:rPr>
        <w:t xml:space="preserve">již </w:t>
      </w:r>
      <w:r w:rsidRPr="00C458F9">
        <w:rPr>
          <w:b/>
          <w:bCs/>
        </w:rPr>
        <w:t xml:space="preserve">byla spuštěna. </w:t>
      </w:r>
      <w:r w:rsidRPr="00C458F9">
        <w:rPr>
          <w:b/>
          <w:bCs/>
        </w:rPr>
        <w:t>Porota</w:t>
      </w:r>
      <w:r w:rsidRPr="00C458F9">
        <w:rPr>
          <w:b/>
          <w:bCs/>
        </w:rPr>
        <w:t xml:space="preserve"> oceňuje </w:t>
      </w:r>
      <w:r w:rsidRPr="00C458F9">
        <w:rPr>
          <w:b/>
          <w:bCs/>
        </w:rPr>
        <w:t>inženýry</w:t>
      </w:r>
      <w:r w:rsidRPr="00C458F9">
        <w:rPr>
          <w:b/>
          <w:bCs/>
        </w:rPr>
        <w:t xml:space="preserve"> z celého světa, kteří pomocí energetických řetězů z vysoce výkonného plastu vytvářejí </w:t>
      </w:r>
      <w:r w:rsidRPr="00C458F9">
        <w:rPr>
          <w:b/>
          <w:bCs/>
        </w:rPr>
        <w:t xml:space="preserve">zajímavé aplikace </w:t>
      </w:r>
      <w:r w:rsidRPr="00C458F9">
        <w:rPr>
          <w:b/>
          <w:bCs/>
        </w:rPr>
        <w:t>kabelov</w:t>
      </w:r>
      <w:r w:rsidRPr="00C458F9">
        <w:rPr>
          <w:b/>
          <w:bCs/>
        </w:rPr>
        <w:t>ých</w:t>
      </w:r>
      <w:r w:rsidRPr="00C458F9">
        <w:rPr>
          <w:b/>
          <w:bCs/>
        </w:rPr>
        <w:t xml:space="preserve"> vedení</w:t>
      </w:r>
      <w:r w:rsidRPr="00C458F9">
        <w:rPr>
          <w:b/>
          <w:bCs/>
        </w:rPr>
        <w:t xml:space="preserve"> a posouvají </w:t>
      </w:r>
      <w:r w:rsidRPr="00C458F9">
        <w:rPr>
          <w:b/>
          <w:bCs/>
        </w:rPr>
        <w:t>technologické standardy. Vítězové obdrží finanční odměnu až do výše 5 000 eur.</w:t>
      </w:r>
    </w:p>
    <w:p w14:paraId="594186B2" w14:textId="77777777" w:rsidR="00C458F9" w:rsidRDefault="00C458F9" w:rsidP="00C458F9">
      <w:pPr>
        <w:jc w:val="both"/>
      </w:pPr>
      <w:r>
        <w:t xml:space="preserve">Cena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získala mezinárodní význam. V roce 2024 bylo přijato více než 320 přihlášek z 37 zemí</w:t>
      </w:r>
      <w:r w:rsidRPr="00AD3C95">
        <w:rPr>
          <w:i/>
          <w:iCs/>
        </w:rPr>
        <w:t xml:space="preserve">. „Tato </w:t>
      </w:r>
      <w:r w:rsidRPr="00AD3C95">
        <w:rPr>
          <w:i/>
          <w:iCs/>
        </w:rPr>
        <w:t xml:space="preserve">obrovská </w:t>
      </w:r>
      <w:r w:rsidRPr="00AD3C95">
        <w:rPr>
          <w:i/>
          <w:iCs/>
        </w:rPr>
        <w:t>odezva odráží rozmanitost a inovativního ducha mezinárodní inženýrské komunity,“</w:t>
      </w:r>
      <w:r>
        <w:t xml:space="preserve"> říká </w:t>
      </w:r>
      <w:r w:rsidRPr="003D19F2">
        <w:rPr>
          <w:b/>
          <w:bCs/>
        </w:rPr>
        <w:t>Jindřich Kollár</w:t>
      </w:r>
      <w:r>
        <w:t xml:space="preserve">, </w:t>
      </w:r>
      <w:r w:rsidRPr="003D19F2">
        <w:rPr>
          <w:b/>
          <w:bCs/>
        </w:rPr>
        <w:t xml:space="preserve">produktový manažer pro energetické řetězy </w:t>
      </w:r>
      <w:proofErr w:type="spellStart"/>
      <w:r w:rsidRPr="003D19F2">
        <w:rPr>
          <w:b/>
          <w:bCs/>
        </w:rPr>
        <w:t>igus</w:t>
      </w:r>
      <w:proofErr w:type="spellEnd"/>
      <w:r w:rsidRPr="003D19F2">
        <w:rPr>
          <w:b/>
          <w:bCs/>
        </w:rPr>
        <w:t xml:space="preserve"> ve společnosti HENNLICH</w:t>
      </w:r>
      <w:r>
        <w:t xml:space="preserve">. </w:t>
      </w:r>
    </w:p>
    <w:p w14:paraId="6928D8A3" w14:textId="65C6530B" w:rsidR="00C458F9" w:rsidRPr="00C458F9" w:rsidRDefault="00C458F9" w:rsidP="00C458F9">
      <w:pPr>
        <w:jc w:val="both"/>
        <w:rPr>
          <w:b/>
          <w:bCs/>
        </w:rPr>
      </w:pPr>
      <w:r w:rsidRPr="00C458F9">
        <w:rPr>
          <w:b/>
          <w:bCs/>
        </w:rPr>
        <w:t>Energetické řetězy – giganti</w:t>
      </w:r>
    </w:p>
    <w:p w14:paraId="40EDDCFC" w14:textId="5649D2CD" w:rsidR="00C458F9" w:rsidRDefault="00C458F9" w:rsidP="00C458F9">
      <w:pPr>
        <w:jc w:val="both"/>
      </w:pPr>
      <w:r>
        <w:t>Soutěž z</w:t>
      </w:r>
      <w:r>
        <w:t xml:space="preserve">ároveň ukazuje extrémní rozměry, v nichž se pohybuje svět energetických řetězů. Nejdelší energetický řetěz typu 5050 RHD má délku 670 metrů a je nainstalován v kolesovém rypadle v indické elektrárně, naplněný kabely o hmotnosti několika set kilogramů. Podobné giganty lze najít v přístavech po celém světě, kde nesou kabely mobilních jeřábů STS. </w:t>
      </w:r>
      <w:r w:rsidRPr="00C458F9">
        <w:rPr>
          <w:i/>
          <w:iCs/>
        </w:rPr>
        <w:t xml:space="preserve">„Také náš energetický řetěz instalovaný v elektrárně Tušimice dosáhl délky 600 metrů a byl mnoho let nejdelší aplikací energetických řetězů </w:t>
      </w:r>
      <w:proofErr w:type="spellStart"/>
      <w:r w:rsidRPr="00C458F9">
        <w:rPr>
          <w:i/>
          <w:iCs/>
        </w:rPr>
        <w:t>igus</w:t>
      </w:r>
      <w:proofErr w:type="spellEnd"/>
      <w:r w:rsidRPr="00C458F9">
        <w:rPr>
          <w:i/>
          <w:iCs/>
        </w:rPr>
        <w:t xml:space="preserve"> na světě. A po zásluze si také odnesl ocenění </w:t>
      </w:r>
      <w:proofErr w:type="spellStart"/>
      <w:r w:rsidRPr="00C458F9">
        <w:rPr>
          <w:i/>
          <w:iCs/>
        </w:rPr>
        <w:t>Vector</w:t>
      </w:r>
      <w:proofErr w:type="spellEnd"/>
      <w:r w:rsidRPr="00C458F9">
        <w:rPr>
          <w:i/>
          <w:iCs/>
        </w:rPr>
        <w:t xml:space="preserve"> </w:t>
      </w:r>
      <w:proofErr w:type="spellStart"/>
      <w:r w:rsidRPr="00C458F9">
        <w:rPr>
          <w:i/>
          <w:iCs/>
        </w:rPr>
        <w:t>Award</w:t>
      </w:r>
      <w:proofErr w:type="spellEnd"/>
      <w:r w:rsidRPr="00C458F9">
        <w:rPr>
          <w:i/>
          <w:iCs/>
        </w:rPr>
        <w:t>,“</w:t>
      </w:r>
      <w:r>
        <w:t xml:space="preserve"> zmiňuje </w:t>
      </w:r>
      <w:r w:rsidRPr="00C458F9">
        <w:rPr>
          <w:b/>
          <w:bCs/>
        </w:rPr>
        <w:t>Jindřich Kollár.</w:t>
      </w:r>
    </w:p>
    <w:p w14:paraId="532389CD" w14:textId="156A57EA" w:rsidR="00C458F9" w:rsidRPr="00C458F9" w:rsidRDefault="00C458F9" w:rsidP="00C458F9">
      <w:pPr>
        <w:tabs>
          <w:tab w:val="left" w:pos="426"/>
        </w:tabs>
        <w:jc w:val="both"/>
        <w:rPr>
          <w:b/>
          <w:bCs/>
        </w:rPr>
      </w:pPr>
      <w:r w:rsidRPr="00C458F9">
        <w:rPr>
          <w:b/>
          <w:bCs/>
        </w:rPr>
        <w:t xml:space="preserve">Energetické </w:t>
      </w:r>
      <w:proofErr w:type="gramStart"/>
      <w:r w:rsidRPr="00C458F9">
        <w:rPr>
          <w:b/>
          <w:bCs/>
        </w:rPr>
        <w:t>řetězy  -</w:t>
      </w:r>
      <w:proofErr w:type="gramEnd"/>
      <w:r w:rsidRPr="00C458F9">
        <w:rPr>
          <w:b/>
          <w:bCs/>
        </w:rPr>
        <w:t xml:space="preserve">  trpaslíci</w:t>
      </w:r>
    </w:p>
    <w:p w14:paraId="7887571D" w14:textId="46EA36B2" w:rsidR="00C458F9" w:rsidRPr="00C458F9" w:rsidRDefault="00C458F9" w:rsidP="00C458F9">
      <w:pPr>
        <w:jc w:val="both"/>
        <w:rPr>
          <w:b/>
          <w:bCs/>
        </w:rPr>
      </w:pPr>
      <w:r>
        <w:t xml:space="preserve">Na druhém konci spektra se nejkratší členové řady E2 </w:t>
      </w:r>
      <w:proofErr w:type="spellStart"/>
      <w:r>
        <w:t>micro</w:t>
      </w:r>
      <w:proofErr w:type="spellEnd"/>
      <w:r>
        <w:t xml:space="preserve">, měřící jen několik centimetrů, proplétají i těmi nejužšími kanály strojů, například v moderních průmyslových robotech, lékařských zařízeních nebo 3D tiskárnách. </w:t>
      </w:r>
      <w:r w:rsidRPr="00C458F9">
        <w:rPr>
          <w:i/>
          <w:iCs/>
        </w:rPr>
        <w:t>„Aplikace však také ukazují, že požadavky na energetické řetězy se neustále zvyšují,“</w:t>
      </w:r>
      <w:r>
        <w:t xml:space="preserve"> zdůrazňuje </w:t>
      </w:r>
      <w:r w:rsidRPr="00A06A67">
        <w:rPr>
          <w:b/>
          <w:bCs/>
        </w:rPr>
        <w:t>Jindřich Kollár</w:t>
      </w:r>
      <w:r>
        <w:t>. Systémy musí zvládat vyšší užitné zatížení, rostoucí rychlosti a dynamické pohybové sekvence v robotice.</w:t>
      </w:r>
      <w:r w:rsidRPr="00C458F9">
        <w:rPr>
          <w:i/>
          <w:iCs/>
        </w:rPr>
        <w:t xml:space="preserve"> „Mnohé z těchto projektů jsou špičkovými technickými úspěchy, ale málokdy přitahují pozornost veřejnosti. To chceme změnit pomocí ceny </w:t>
      </w:r>
      <w:proofErr w:type="spellStart"/>
      <w:r w:rsidRPr="00C458F9">
        <w:rPr>
          <w:i/>
          <w:iCs/>
        </w:rPr>
        <w:t>V</w:t>
      </w:r>
      <w:r w:rsidRPr="00C458F9">
        <w:rPr>
          <w:i/>
          <w:iCs/>
        </w:rPr>
        <w:t>ector</w:t>
      </w:r>
      <w:proofErr w:type="spellEnd"/>
      <w:r w:rsidRPr="00C458F9">
        <w:rPr>
          <w:i/>
          <w:iCs/>
        </w:rPr>
        <w:t xml:space="preserve"> </w:t>
      </w:r>
      <w:proofErr w:type="spellStart"/>
      <w:r w:rsidRPr="00C458F9">
        <w:rPr>
          <w:i/>
          <w:iCs/>
        </w:rPr>
        <w:t>A</w:t>
      </w:r>
      <w:r w:rsidRPr="00C458F9">
        <w:rPr>
          <w:i/>
          <w:iCs/>
        </w:rPr>
        <w:t>ward</w:t>
      </w:r>
      <w:proofErr w:type="spellEnd"/>
      <w:r w:rsidRPr="00C458F9">
        <w:rPr>
          <w:i/>
          <w:iCs/>
        </w:rPr>
        <w:t xml:space="preserve"> 2026, která nabízí </w:t>
      </w:r>
      <w:r>
        <w:rPr>
          <w:i/>
          <w:iCs/>
        </w:rPr>
        <w:t>inženýrům</w:t>
      </w:r>
      <w:r w:rsidRPr="00C458F9">
        <w:rPr>
          <w:i/>
          <w:iCs/>
        </w:rPr>
        <w:t xml:space="preserve"> a firmám mezinárodní </w:t>
      </w:r>
      <w:r>
        <w:rPr>
          <w:i/>
          <w:iCs/>
        </w:rPr>
        <w:t>věhlas</w:t>
      </w:r>
      <w:r w:rsidRPr="00C458F9">
        <w:rPr>
          <w:i/>
          <w:iCs/>
        </w:rPr>
        <w:t xml:space="preserve"> pro jejich aplikace s energetickými řetěz</w:t>
      </w:r>
      <w:r>
        <w:rPr>
          <w:i/>
          <w:iCs/>
        </w:rPr>
        <w:t>y,</w:t>
      </w:r>
      <w:r w:rsidRPr="00C458F9">
        <w:rPr>
          <w:i/>
          <w:iCs/>
        </w:rPr>
        <w:t>“</w:t>
      </w:r>
      <w:r>
        <w:rPr>
          <w:i/>
          <w:iCs/>
        </w:rPr>
        <w:t xml:space="preserve"> dodává </w:t>
      </w:r>
      <w:r w:rsidRPr="00C458F9">
        <w:rPr>
          <w:b/>
          <w:bCs/>
        </w:rPr>
        <w:t>Jindřich Kollár.</w:t>
      </w:r>
      <w:r w:rsidRPr="00C458F9">
        <w:rPr>
          <w:b/>
          <w:bCs/>
        </w:rPr>
        <w:t xml:space="preserve"> </w:t>
      </w:r>
    </w:p>
    <w:p w14:paraId="7B25E4AC" w14:textId="4864AF40" w:rsidR="00C458F9" w:rsidRPr="00CA6399" w:rsidRDefault="00C458F9" w:rsidP="00C458F9">
      <w:pPr>
        <w:jc w:val="both"/>
        <w:rPr>
          <w:b/>
          <w:bCs/>
        </w:rPr>
      </w:pPr>
      <w:r>
        <w:rPr>
          <w:b/>
          <w:bCs/>
        </w:rPr>
        <w:t>Přihlášky</w:t>
      </w:r>
      <w:r>
        <w:rPr>
          <w:b/>
          <w:bCs/>
        </w:rPr>
        <w:t xml:space="preserve"> </w:t>
      </w:r>
      <w:r>
        <w:rPr>
          <w:b/>
          <w:bCs/>
        </w:rPr>
        <w:t>do 30. ledna 2026</w:t>
      </w:r>
    </w:p>
    <w:p w14:paraId="77C2A579" w14:textId="7151E7CD" w:rsidR="00C458F9" w:rsidRDefault="00C458F9" w:rsidP="00C458F9">
      <w:pPr>
        <w:jc w:val="both"/>
      </w:pPr>
      <w:r>
        <w:t xml:space="preserve">V rámci soutěže se udělují čtyři ocenění: </w:t>
      </w:r>
      <w:r>
        <w:t>Z</w:t>
      </w:r>
      <w:r>
        <w:t xml:space="preserve">latý </w:t>
      </w:r>
      <w:proofErr w:type="spellStart"/>
      <w:r>
        <w:t>V</w:t>
      </w:r>
      <w:r>
        <w:t>e</w:t>
      </w:r>
      <w:r>
        <w:t>c</w:t>
      </w:r>
      <w:r>
        <w:t>tor</w:t>
      </w:r>
      <w:proofErr w:type="spellEnd"/>
      <w:r>
        <w:t xml:space="preserve"> s finanční odměnou 5 000 eur, stříbrný </w:t>
      </w:r>
      <w:proofErr w:type="spellStart"/>
      <w:r>
        <w:t>V</w:t>
      </w:r>
      <w:r>
        <w:t>e</w:t>
      </w:r>
      <w:r>
        <w:t>c</w:t>
      </w:r>
      <w:r>
        <w:t>tor</w:t>
      </w:r>
      <w:proofErr w:type="spellEnd"/>
      <w:r>
        <w:t xml:space="preserve"> s finanční odměnou 2 500 eur, bronzový </w:t>
      </w:r>
      <w:proofErr w:type="spellStart"/>
      <w:r>
        <w:t>V</w:t>
      </w:r>
      <w:r>
        <w:t>e</w:t>
      </w:r>
      <w:r>
        <w:t>c</w:t>
      </w:r>
      <w:r>
        <w:t>tor</w:t>
      </w:r>
      <w:proofErr w:type="spellEnd"/>
      <w:r>
        <w:t xml:space="preserve"> s finanční odměnou 1 000 eur a zelený </w:t>
      </w:r>
      <w:proofErr w:type="spellStart"/>
      <w:r>
        <w:t>V</w:t>
      </w:r>
      <w:r>
        <w:t>e</w:t>
      </w:r>
      <w:r>
        <w:t>c</w:t>
      </w:r>
      <w:r>
        <w:t>tor</w:t>
      </w:r>
      <w:proofErr w:type="spellEnd"/>
      <w:r>
        <w:t xml:space="preserve"> pro mimořádně udržitelné řešení, rovněž s finanční odměnou 1 000 eur</w:t>
      </w:r>
      <w:r w:rsidRPr="005D383C">
        <w:t xml:space="preserve">. </w:t>
      </w:r>
      <w:r w:rsidRPr="00BF05E2">
        <w:t xml:space="preserve">Přihlašovací fáze pro 10. ročník soutěže </w:t>
      </w:r>
      <w:proofErr w:type="spellStart"/>
      <w:r w:rsidRPr="00BF05E2">
        <w:t>Vector</w:t>
      </w:r>
      <w:proofErr w:type="spellEnd"/>
      <w:r w:rsidRPr="00BF05E2">
        <w:t xml:space="preserve"> </w:t>
      </w:r>
      <w:proofErr w:type="spellStart"/>
      <w:r w:rsidRPr="00BF05E2">
        <w:t>Award</w:t>
      </w:r>
      <w:proofErr w:type="spellEnd"/>
      <w:r w:rsidRPr="00BF05E2">
        <w:t xml:space="preserve"> začíná 6. října 2025. Zúčastnit se mohou všichni konstruktéři, kteří používají energetické řetězy z vysoce výkonného plastu nebo plastové hybridní řešení od společnosti </w:t>
      </w:r>
      <w:proofErr w:type="spellStart"/>
      <w:r w:rsidRPr="00BF05E2">
        <w:t>igus</w:t>
      </w:r>
      <w:proofErr w:type="spellEnd"/>
      <w:r w:rsidRPr="00BF05E2">
        <w:t>. Projekty nesmí být ve fázi plánování, ale musí být již úspěšně realizovány. Uzávěrka přihlášek je 30. ledna 2026. Nezávislá porota složená z odborníků z oblasti výzkumu, odborného tisku a průmyslu se poté sejde 26. února v Kolíně nad Rýnem, aby vybrala vítěze. Vítězové budou oznámeni 8. dubna 2026.</w:t>
      </w:r>
    </w:p>
    <w:p w14:paraId="6B155051" w14:textId="77777777" w:rsidR="00C17E33" w:rsidRDefault="00C17E33" w:rsidP="00C458F9">
      <w:pPr>
        <w:jc w:val="both"/>
        <w:rPr>
          <w:b/>
          <w:bCs/>
        </w:rPr>
      </w:pPr>
      <w:r>
        <w:rPr>
          <w:b/>
          <w:bCs/>
        </w:rPr>
        <w:t>Link na zprávu:</w:t>
      </w:r>
    </w:p>
    <w:p w14:paraId="11BA54AF" w14:textId="0B35924A" w:rsidR="0060722B" w:rsidRPr="00FD4C3F" w:rsidRDefault="00FD4C3F" w:rsidP="00C458F9">
      <w:pPr>
        <w:jc w:val="both"/>
      </w:pPr>
      <w:hyperlink r:id="rId10" w:history="1">
        <w:r w:rsidRPr="00FD4C3F">
          <w:rPr>
            <w:rStyle w:val="Hypertextovodkaz"/>
          </w:rPr>
          <w:t>https://www.hennlich.cz/lin-tech/aktuality/hennlich-igus-vyhlasily-soutez-pro-aplikace-energetickych-retezu/?utm_source=PR&amp;utm_medium=TZ&amp;utm_campaign=TZ_HENNLICH_2025_11_13_Vector+Award+2026</w:t>
        </w:r>
      </w:hyperlink>
    </w:p>
    <w:p w14:paraId="25A76B45" w14:textId="77777777" w:rsidR="00FD4C3F" w:rsidRDefault="00FD4C3F" w:rsidP="00C458F9">
      <w:pPr>
        <w:jc w:val="both"/>
        <w:rPr>
          <w:b/>
          <w:bCs/>
        </w:rPr>
      </w:pPr>
    </w:p>
    <w:p w14:paraId="0BE409DA" w14:textId="2BB7350E" w:rsidR="008D3406" w:rsidRDefault="008D3406" w:rsidP="00C458F9">
      <w:pPr>
        <w:jc w:val="both"/>
        <w:rPr>
          <w:b/>
          <w:bCs/>
        </w:rPr>
      </w:pPr>
      <w:r>
        <w:rPr>
          <w:b/>
          <w:bCs/>
        </w:rPr>
        <w:t>Obrázek:</w:t>
      </w:r>
    </w:p>
    <w:p w14:paraId="465AA0F9" w14:textId="49C68525" w:rsidR="008D3406" w:rsidRDefault="00C458F9" w:rsidP="00C458F9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9796A4B" wp14:editId="59A4061D">
            <wp:extent cx="4785360" cy="3355382"/>
            <wp:effectExtent l="0" t="0" r="0" b="0"/>
            <wp:docPr id="4716754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49" cy="33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53D0" w14:textId="77777777" w:rsidR="008D3406" w:rsidRPr="003A72A5" w:rsidRDefault="008D3406" w:rsidP="00C458F9">
      <w:pPr>
        <w:jc w:val="both"/>
        <w:rPr>
          <w:b/>
          <w:bCs/>
          <w:sz w:val="24"/>
          <w:szCs w:val="24"/>
        </w:rPr>
      </w:pPr>
      <w:r w:rsidRPr="003A72A5">
        <w:rPr>
          <w:b/>
          <w:bCs/>
          <w:sz w:val="24"/>
          <w:szCs w:val="24"/>
        </w:rPr>
        <w:t>Popis obrázku:</w:t>
      </w:r>
    </w:p>
    <w:bookmarkEnd w:id="0"/>
    <w:p w14:paraId="05D986AA" w14:textId="2CC3A525" w:rsidR="008D3406" w:rsidRPr="00AE1A2D" w:rsidRDefault="00C458F9" w:rsidP="00C458F9">
      <w:pPr>
        <w:jc w:val="both"/>
        <w:rPr>
          <w:b/>
          <w:bCs/>
        </w:rPr>
      </w:pPr>
      <w:r w:rsidRPr="00C458F9">
        <w:rPr>
          <w:b/>
          <w:bCs/>
        </w:rPr>
        <w:t xml:space="preserve">Firmy HENNLICH a </w:t>
      </w:r>
      <w:proofErr w:type="spellStart"/>
      <w:r w:rsidRPr="00C458F9">
        <w:rPr>
          <w:b/>
          <w:bCs/>
        </w:rPr>
        <w:t>igus</w:t>
      </w:r>
      <w:proofErr w:type="spellEnd"/>
      <w:r w:rsidRPr="00C458F9">
        <w:rPr>
          <w:b/>
          <w:bCs/>
        </w:rPr>
        <w:t xml:space="preserve"> vyhlásily jubilejní desátý ročník mezinárodní soutěže, která oceňuje kreativní využití energetických řetězů pro vedení kabelů v zajímavých aplikacích – </w:t>
      </w:r>
      <w:proofErr w:type="spellStart"/>
      <w:r w:rsidRPr="00C458F9">
        <w:rPr>
          <w:b/>
          <w:bCs/>
        </w:rPr>
        <w:t>Vector</w:t>
      </w:r>
      <w:proofErr w:type="spellEnd"/>
      <w:r w:rsidRPr="00C458F9">
        <w:rPr>
          <w:b/>
          <w:bCs/>
        </w:rPr>
        <w:t xml:space="preserve"> </w:t>
      </w:r>
      <w:proofErr w:type="spellStart"/>
      <w:r w:rsidRPr="00C458F9">
        <w:rPr>
          <w:b/>
          <w:bCs/>
        </w:rPr>
        <w:t>Award</w:t>
      </w:r>
      <w:proofErr w:type="spellEnd"/>
      <w:r w:rsidRPr="00C458F9">
        <w:rPr>
          <w:b/>
          <w:bCs/>
        </w:rPr>
        <w:t xml:space="preserve"> 2026. Přihlašovací část soutěže již byla spuštěna. Porota oceňuje inženýry z celého světa, kteří pomocí energetických řetězů z vysoce výkonného plastu vytvářejí zajímavé aplikace kabelových vedení a posouvají technologické standardy. Vítězové obdrží finanční odměnu až do výše 5 000 eur.</w:t>
      </w:r>
      <w:r w:rsidR="003E14C6" w:rsidRPr="003E14C6">
        <w:rPr>
          <w:b/>
          <w:bCs/>
        </w:rPr>
        <w:t xml:space="preserve"> </w:t>
      </w:r>
      <w:r w:rsidR="008D3406">
        <w:rPr>
          <w:b/>
          <w:bCs/>
        </w:rPr>
        <w:t>(Foto: HENNLICH</w:t>
      </w:r>
      <w:r w:rsidR="00C93F9E">
        <w:rPr>
          <w:b/>
          <w:bCs/>
        </w:rPr>
        <w:t>/igus</w:t>
      </w:r>
      <w:r w:rsidR="008D3406">
        <w:rPr>
          <w:b/>
          <w:bCs/>
        </w:rPr>
        <w:t>)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lastRenderedPageBreak/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77777777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6221" w14:textId="77777777" w:rsidR="007B27EB" w:rsidRDefault="007B27EB" w:rsidP="00416EE5">
      <w:pPr>
        <w:spacing w:after="0" w:line="240" w:lineRule="auto"/>
      </w:pPr>
      <w:r>
        <w:separator/>
      </w:r>
    </w:p>
  </w:endnote>
  <w:endnote w:type="continuationSeparator" w:id="0">
    <w:p w14:paraId="423E3408" w14:textId="77777777" w:rsidR="007B27EB" w:rsidRDefault="007B27EB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34FF" w14:textId="77777777" w:rsidR="007B27EB" w:rsidRDefault="007B27EB" w:rsidP="00416EE5">
      <w:pPr>
        <w:spacing w:after="0" w:line="240" w:lineRule="auto"/>
      </w:pPr>
      <w:r>
        <w:separator/>
      </w:r>
    </w:p>
  </w:footnote>
  <w:footnote w:type="continuationSeparator" w:id="0">
    <w:p w14:paraId="2DD95C84" w14:textId="77777777" w:rsidR="007B27EB" w:rsidRDefault="007B27EB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17E34"/>
    <w:rsid w:val="000478E5"/>
    <w:rsid w:val="00085DA6"/>
    <w:rsid w:val="0009015B"/>
    <w:rsid w:val="000C2E50"/>
    <w:rsid w:val="000F7349"/>
    <w:rsid w:val="00150B36"/>
    <w:rsid w:val="00152462"/>
    <w:rsid w:val="001536C6"/>
    <w:rsid w:val="00167E0D"/>
    <w:rsid w:val="00185138"/>
    <w:rsid w:val="001C6677"/>
    <w:rsid w:val="001E4748"/>
    <w:rsid w:val="00264F03"/>
    <w:rsid w:val="00303A8E"/>
    <w:rsid w:val="00346BC7"/>
    <w:rsid w:val="00387DBF"/>
    <w:rsid w:val="00392B6D"/>
    <w:rsid w:val="003B7F45"/>
    <w:rsid w:val="003E14C6"/>
    <w:rsid w:val="003F6872"/>
    <w:rsid w:val="00400D2A"/>
    <w:rsid w:val="004120FC"/>
    <w:rsid w:val="00416EE5"/>
    <w:rsid w:val="004825E1"/>
    <w:rsid w:val="004C2B18"/>
    <w:rsid w:val="004D16DA"/>
    <w:rsid w:val="004E2465"/>
    <w:rsid w:val="0060722B"/>
    <w:rsid w:val="0063778E"/>
    <w:rsid w:val="00644AEB"/>
    <w:rsid w:val="0068461E"/>
    <w:rsid w:val="00686E05"/>
    <w:rsid w:val="006A2C6C"/>
    <w:rsid w:val="006B344A"/>
    <w:rsid w:val="006D083F"/>
    <w:rsid w:val="006E3265"/>
    <w:rsid w:val="00701625"/>
    <w:rsid w:val="00711858"/>
    <w:rsid w:val="00774823"/>
    <w:rsid w:val="00776693"/>
    <w:rsid w:val="007A3DAC"/>
    <w:rsid w:val="007A74AD"/>
    <w:rsid w:val="007B27EB"/>
    <w:rsid w:val="007D7F16"/>
    <w:rsid w:val="007F1B8C"/>
    <w:rsid w:val="008129C6"/>
    <w:rsid w:val="00814D0C"/>
    <w:rsid w:val="008A18D3"/>
    <w:rsid w:val="008B0BF3"/>
    <w:rsid w:val="008D3406"/>
    <w:rsid w:val="008D3979"/>
    <w:rsid w:val="00901D9F"/>
    <w:rsid w:val="00913038"/>
    <w:rsid w:val="00987662"/>
    <w:rsid w:val="009B0C12"/>
    <w:rsid w:val="009C5A16"/>
    <w:rsid w:val="00A012D0"/>
    <w:rsid w:val="00A251DE"/>
    <w:rsid w:val="00A70535"/>
    <w:rsid w:val="00A95D16"/>
    <w:rsid w:val="00AB0B71"/>
    <w:rsid w:val="00AC4B08"/>
    <w:rsid w:val="00AD3C95"/>
    <w:rsid w:val="00AD6627"/>
    <w:rsid w:val="00AF2603"/>
    <w:rsid w:val="00B04AD2"/>
    <w:rsid w:val="00B477FA"/>
    <w:rsid w:val="00B610A5"/>
    <w:rsid w:val="00B64BCE"/>
    <w:rsid w:val="00B83565"/>
    <w:rsid w:val="00BC74A8"/>
    <w:rsid w:val="00BC7DA2"/>
    <w:rsid w:val="00C17E33"/>
    <w:rsid w:val="00C350F1"/>
    <w:rsid w:val="00C458F9"/>
    <w:rsid w:val="00C70DCD"/>
    <w:rsid w:val="00C81BEE"/>
    <w:rsid w:val="00C90B53"/>
    <w:rsid w:val="00C9138F"/>
    <w:rsid w:val="00C93F9E"/>
    <w:rsid w:val="00C96053"/>
    <w:rsid w:val="00CA1A9A"/>
    <w:rsid w:val="00CB0083"/>
    <w:rsid w:val="00CF5574"/>
    <w:rsid w:val="00D10D94"/>
    <w:rsid w:val="00D40951"/>
    <w:rsid w:val="00DC5F35"/>
    <w:rsid w:val="00DD3CA2"/>
    <w:rsid w:val="00DE0EAA"/>
    <w:rsid w:val="00EC0532"/>
    <w:rsid w:val="00F72E3B"/>
    <w:rsid w:val="00FB43F1"/>
    <w:rsid w:val="00FD3EBC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nnlich.cz/lin-tech/aktuality/hennlich-igus-vyhlasily-soutez-pro-aplikace-energetickych-retezu/?utm_source=PR&amp;utm_medium=TZ&amp;utm_campaign=TZ_HENNLICH_2025_11_13_Vector+Award+202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5</cp:revision>
  <dcterms:created xsi:type="dcterms:W3CDTF">2025-11-13T12:03:00Z</dcterms:created>
  <dcterms:modified xsi:type="dcterms:W3CDTF">2025-11-13T12:23:00Z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