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AC28" w14:textId="77777777" w:rsidR="00894D06" w:rsidRPr="00894D06" w:rsidRDefault="00894D06" w:rsidP="00894D06">
      <w:pPr>
        <w:rPr>
          <w:b/>
          <w:bCs/>
          <w:sz w:val="28"/>
          <w:szCs w:val="28"/>
        </w:rPr>
      </w:pPr>
      <w:r w:rsidRPr="00894D06">
        <w:rPr>
          <w:b/>
          <w:bCs/>
          <w:sz w:val="28"/>
          <w:szCs w:val="28"/>
        </w:rPr>
        <w:t>HENNLICH dodá unikátní kaskádové věže pro sila v Chile</w:t>
      </w:r>
    </w:p>
    <w:p w14:paraId="0A376F0C" w14:textId="0268FFDE" w:rsidR="00894D06" w:rsidRPr="00894D06" w:rsidRDefault="00894D06" w:rsidP="00894D06">
      <w:r w:rsidRPr="00894D06">
        <w:rPr>
          <w:b/>
          <w:bCs/>
        </w:rPr>
        <w:t xml:space="preserve">Litoměřice, </w:t>
      </w:r>
      <w:r w:rsidR="002978F6">
        <w:rPr>
          <w:b/>
          <w:bCs/>
        </w:rPr>
        <w:t>25</w:t>
      </w:r>
      <w:r w:rsidRPr="00894D06">
        <w:rPr>
          <w:b/>
          <w:bCs/>
        </w:rPr>
        <w:t xml:space="preserve">. listopadu 2024 – Společnost HENNLICH dodá dvě kaskádové věže, které budou instalovány v rámci těžebního průmyslu v Chile. Tyto věže, vyrobené </w:t>
      </w:r>
      <w:r w:rsidR="0000106D">
        <w:rPr>
          <w:b/>
          <w:bCs/>
        </w:rPr>
        <w:t>z </w:t>
      </w:r>
      <w:proofErr w:type="spellStart"/>
      <w:r w:rsidR="0000106D">
        <w:rPr>
          <w:b/>
          <w:bCs/>
        </w:rPr>
        <w:t>pozinkové</w:t>
      </w:r>
      <w:proofErr w:type="spellEnd"/>
      <w:r w:rsidR="0000106D">
        <w:rPr>
          <w:b/>
          <w:bCs/>
        </w:rPr>
        <w:t xml:space="preserve"> oceli </w:t>
      </w:r>
      <w:r w:rsidRPr="00894D06">
        <w:rPr>
          <w:b/>
          <w:bCs/>
        </w:rPr>
        <w:t>představují inovativní řešení pro efektivní manipulaci s materiálem uvnitř sila.</w:t>
      </w:r>
    </w:p>
    <w:p w14:paraId="0BABE426" w14:textId="77777777" w:rsidR="00894D06" w:rsidRPr="00894D06" w:rsidRDefault="00894D06" w:rsidP="00894D06">
      <w:r w:rsidRPr="00894D06">
        <w:t>Kaskádové věže, dlouhé 20 a 24 metrů, jsou navrženy tak, aby umožnily průtok sody o kapacitě 1500 tun za hodinu, s frakcí 0-1 mm. Díky použití pozinkované oceli a plastového vyložení kaskádových misek, zajišťují vysokou odolnost a dlouhou životnost v náročných podmínkách těžebního průmyslu.</w:t>
      </w:r>
    </w:p>
    <w:p w14:paraId="5C5C2F8A" w14:textId="77777777" w:rsidR="00894D06" w:rsidRPr="00894D06" w:rsidRDefault="00894D06" w:rsidP="00894D06">
      <w:r w:rsidRPr="00894D06">
        <w:t>Jedinečnost těchto věží spočívá nejen v jejich nestandardní délce, ale především v originálním řešení navrženém pro významné snížení prašnosti. Kaskádové misky zpomalují rychlost pádu materiálu, čímž minimalizují jeho rozbití na prach a následné prášení v místě dopadu. Tento přístup přináší zlepšení pracovního prostředí a snižuje ekologický dopad provozu.</w:t>
      </w:r>
    </w:p>
    <w:p w14:paraId="5798A1A4" w14:textId="3CAC4CEB" w:rsidR="00894D06" w:rsidRPr="00894D06" w:rsidRDefault="00894D06" w:rsidP="00894D06">
      <w:r w:rsidRPr="00894D06">
        <w:rPr>
          <w:i/>
          <w:iCs/>
        </w:rPr>
        <w:t xml:space="preserve">„Celý náš program navrhování a výroby plnicích hubic, kterému se věnujeme již 20 let, přispívá k efektivnějšímu a ekologičtějšímu provozu nejen </w:t>
      </w:r>
      <w:r w:rsidR="0000106D">
        <w:rPr>
          <w:i/>
          <w:iCs/>
        </w:rPr>
        <w:t xml:space="preserve">v </w:t>
      </w:r>
      <w:r w:rsidRPr="00894D06">
        <w:rPr>
          <w:i/>
          <w:iCs/>
        </w:rPr>
        <w:t>těžebním průmyslu, ale všude tam, kde se využívá sypký materiál a hrozí únik prachu do ovzduší. Naše kaskádové věže, plnicí hubice, ale i mlžná děla jsou technologiemi, které vyvíjíme a vyrábíme tak, aby odpovídala potřebám moderního průmyslu,“</w:t>
      </w:r>
      <w:r w:rsidRPr="00894D06">
        <w:t xml:space="preserve"> říká </w:t>
      </w:r>
      <w:r w:rsidRPr="00894D06">
        <w:rPr>
          <w:b/>
          <w:bCs/>
        </w:rPr>
        <w:t>Pavel Uxa, manažer divize HENNLICH ENGINEERING ve společnosti HENNLICH</w:t>
      </w:r>
      <w:r w:rsidRPr="00894D06">
        <w:t>.</w:t>
      </w:r>
    </w:p>
    <w:p w14:paraId="157DE89F" w14:textId="1E257634" w:rsidR="00894D06" w:rsidRPr="00894D06" w:rsidRDefault="00894D06" w:rsidP="00894D06">
      <w:r w:rsidRPr="00894D06">
        <w:t xml:space="preserve">Tato zakázka, která je již několikátým exportem firmy </w:t>
      </w:r>
      <w:r w:rsidR="0000106D">
        <w:t xml:space="preserve">HENNLICH </w:t>
      </w:r>
      <w:r w:rsidRPr="00894D06">
        <w:t xml:space="preserve">do Jižní Ameriky, potvrzuje </w:t>
      </w:r>
      <w:r w:rsidR="0000106D">
        <w:t xml:space="preserve">její </w:t>
      </w:r>
      <w:r w:rsidRPr="00894D06">
        <w:t>schopnost poskytovat inovativní řešení pro náročné průmyslové aplikace. Tyto technologie přinášejí průmyslovým zákazníkům nejen zvýšení efektivity, ale také významně snižují prašnost a zlepšují pracovní podmínky.</w:t>
      </w:r>
    </w:p>
    <w:p w14:paraId="0F62F75C" w14:textId="77777777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</w:p>
    <w:p w14:paraId="7F11C361" w14:textId="325CEDA4" w:rsidR="0022456E" w:rsidRDefault="0022456E" w:rsidP="00F900AC">
      <w:pPr>
        <w:rPr>
          <w:sz w:val="20"/>
          <w:szCs w:val="20"/>
        </w:rPr>
      </w:pPr>
      <w:r>
        <w:rPr>
          <w:b/>
          <w:bCs/>
        </w:rPr>
        <w:br/>
      </w: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25E73CF6" w14:textId="20716999" w:rsidR="00F57741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</w:p>
    <w:p w14:paraId="0F06FB88" w14:textId="6CFD4AF2" w:rsidR="008F7044" w:rsidRPr="00A16B34" w:rsidRDefault="00953B89" w:rsidP="008F7044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AE24811" wp14:editId="1F23EEB8">
            <wp:extent cx="2419350" cy="3629025"/>
            <wp:effectExtent l="0" t="0" r="0" b="9525"/>
            <wp:docPr id="256866479" name="Obrázek 1" descr="Obsah obrázku ocel, inženýrství, průmysl, fabr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66479" name="Obrázek 1" descr="Obsah obrázku ocel, inženýrství, průmysl, fabr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4B14" w14:textId="1C20AA39" w:rsidR="008F7044" w:rsidRPr="00A16B34" w:rsidRDefault="008F7044" w:rsidP="00AD17DA">
      <w:pPr>
        <w:rPr>
          <w:b/>
          <w:bCs/>
        </w:rPr>
      </w:pPr>
      <w:r w:rsidRPr="00A16B34">
        <w:rPr>
          <w:b/>
          <w:bCs/>
        </w:rPr>
        <w:t>Popis obrázku:</w:t>
      </w:r>
      <w:r w:rsidR="00EF4AAE">
        <w:rPr>
          <w:b/>
          <w:bCs/>
        </w:rPr>
        <w:br/>
      </w:r>
      <w:r w:rsidR="00AD17DA" w:rsidRPr="00894D06">
        <w:rPr>
          <w:b/>
          <w:bCs/>
        </w:rPr>
        <w:t xml:space="preserve">Společnost HENNLICH dodá dvě kaskádové věže, které budou instalovány v rámci těžebního průmyslu v Chile. Tyto věže, vyrobené </w:t>
      </w:r>
      <w:r w:rsidR="00AD17DA">
        <w:rPr>
          <w:b/>
          <w:bCs/>
        </w:rPr>
        <w:t>z </w:t>
      </w:r>
      <w:proofErr w:type="spellStart"/>
      <w:r w:rsidR="00AD17DA">
        <w:rPr>
          <w:b/>
          <w:bCs/>
        </w:rPr>
        <w:t>pozinkové</w:t>
      </w:r>
      <w:proofErr w:type="spellEnd"/>
      <w:r w:rsidR="00AD17DA">
        <w:rPr>
          <w:b/>
          <w:bCs/>
        </w:rPr>
        <w:t xml:space="preserve"> oceli </w:t>
      </w:r>
      <w:r w:rsidR="00AD17DA" w:rsidRPr="00894D06">
        <w:rPr>
          <w:b/>
          <w:bCs/>
        </w:rPr>
        <w:t>představují inovativní řešení pro efektivní manipulaci s materiálem uvnitř sila.</w:t>
      </w:r>
      <w:r w:rsidR="00AD17DA">
        <w:rPr>
          <w:b/>
          <w:bCs/>
        </w:rPr>
        <w:t xml:space="preserve"> </w:t>
      </w:r>
      <w:r w:rsidR="00AD17DA" w:rsidRPr="00AD17DA">
        <w:rPr>
          <w:b/>
          <w:bCs/>
        </w:rPr>
        <w:t>Kaskádové věže, dlouhé 20 a 24 metrů, jsou navrženy tak, aby umožnily průtok sody o kapacitě 1500 tun za hodinu, s frakcí 0-1 mm.</w:t>
      </w:r>
    </w:p>
    <w:p w14:paraId="1908FA5C" w14:textId="7371C2F2" w:rsidR="008F7044" w:rsidRPr="008F7044" w:rsidRDefault="008F7044" w:rsidP="008F7044">
      <w:pPr>
        <w:rPr>
          <w:b/>
          <w:bCs/>
        </w:rPr>
      </w:pPr>
      <w:r w:rsidRPr="008F7044">
        <w:rPr>
          <w:b/>
          <w:bCs/>
        </w:rPr>
        <w:t>(Zdroj: 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</w:t>
      </w:r>
      <w:r w:rsidRPr="000355B9">
        <w:rPr>
          <w:rFonts w:cs="Arial"/>
          <w:sz w:val="20"/>
          <w:szCs w:val="20"/>
        </w:rPr>
        <w:lastRenderedPageBreak/>
        <w:t xml:space="preserve">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A82E" w14:textId="77777777" w:rsidR="00BC43FB" w:rsidRDefault="00BC43FB" w:rsidP="00416EE5">
      <w:pPr>
        <w:spacing w:after="0" w:line="240" w:lineRule="auto"/>
      </w:pPr>
      <w:r>
        <w:separator/>
      </w:r>
    </w:p>
  </w:endnote>
  <w:endnote w:type="continuationSeparator" w:id="0">
    <w:p w14:paraId="53954666" w14:textId="77777777" w:rsidR="00BC43FB" w:rsidRDefault="00BC43FB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4FEE" w14:textId="77777777" w:rsidR="00BC43FB" w:rsidRDefault="00BC43FB" w:rsidP="00416EE5">
      <w:pPr>
        <w:spacing w:after="0" w:line="240" w:lineRule="auto"/>
      </w:pPr>
      <w:r>
        <w:separator/>
      </w:r>
    </w:p>
  </w:footnote>
  <w:footnote w:type="continuationSeparator" w:id="0">
    <w:p w14:paraId="64EA3683" w14:textId="77777777" w:rsidR="00BC43FB" w:rsidRDefault="00BC43FB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4C64"/>
    <w:rsid w:val="00007434"/>
    <w:rsid w:val="00010AAE"/>
    <w:rsid w:val="000148EA"/>
    <w:rsid w:val="00014ACA"/>
    <w:rsid w:val="00021A4D"/>
    <w:rsid w:val="00025357"/>
    <w:rsid w:val="00025505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C4184"/>
    <w:rsid w:val="000E12CA"/>
    <w:rsid w:val="000F674D"/>
    <w:rsid w:val="0010113A"/>
    <w:rsid w:val="0010150D"/>
    <w:rsid w:val="00102E50"/>
    <w:rsid w:val="00106892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B6126"/>
    <w:rsid w:val="001C7F5A"/>
    <w:rsid w:val="001D25E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74AA"/>
    <w:rsid w:val="0034597E"/>
    <w:rsid w:val="00347F0C"/>
    <w:rsid w:val="00352499"/>
    <w:rsid w:val="00357D10"/>
    <w:rsid w:val="0036025B"/>
    <w:rsid w:val="00381004"/>
    <w:rsid w:val="00390557"/>
    <w:rsid w:val="003913EE"/>
    <w:rsid w:val="003A036E"/>
    <w:rsid w:val="003A7262"/>
    <w:rsid w:val="003B1CB9"/>
    <w:rsid w:val="003C2F23"/>
    <w:rsid w:val="003C581D"/>
    <w:rsid w:val="003D46DD"/>
    <w:rsid w:val="003D78B8"/>
    <w:rsid w:val="003E2C90"/>
    <w:rsid w:val="003E7937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84E29"/>
    <w:rsid w:val="006968D5"/>
    <w:rsid w:val="006A6640"/>
    <w:rsid w:val="006A7D1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5CF7"/>
    <w:rsid w:val="00752EC1"/>
    <w:rsid w:val="00753A01"/>
    <w:rsid w:val="007572F2"/>
    <w:rsid w:val="007626F2"/>
    <w:rsid w:val="007739FF"/>
    <w:rsid w:val="0077407E"/>
    <w:rsid w:val="00792435"/>
    <w:rsid w:val="007951DA"/>
    <w:rsid w:val="007A48E2"/>
    <w:rsid w:val="007C39EA"/>
    <w:rsid w:val="007D14D6"/>
    <w:rsid w:val="007D6735"/>
    <w:rsid w:val="007E515A"/>
    <w:rsid w:val="007F0E6E"/>
    <w:rsid w:val="007F1B8C"/>
    <w:rsid w:val="00811E1D"/>
    <w:rsid w:val="008229F6"/>
    <w:rsid w:val="00823FA7"/>
    <w:rsid w:val="00824980"/>
    <w:rsid w:val="00844999"/>
    <w:rsid w:val="00865571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E6F61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B27A0"/>
    <w:rsid w:val="009B3766"/>
    <w:rsid w:val="009B5040"/>
    <w:rsid w:val="009B62EE"/>
    <w:rsid w:val="009C6F28"/>
    <w:rsid w:val="009D0389"/>
    <w:rsid w:val="009E0997"/>
    <w:rsid w:val="009E39F8"/>
    <w:rsid w:val="009E4084"/>
    <w:rsid w:val="009F63C8"/>
    <w:rsid w:val="00A02FDB"/>
    <w:rsid w:val="00A25294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0C5E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2E9D"/>
    <w:rsid w:val="00D9379D"/>
    <w:rsid w:val="00D941A9"/>
    <w:rsid w:val="00DA7219"/>
    <w:rsid w:val="00DB18E8"/>
    <w:rsid w:val="00DB24E8"/>
    <w:rsid w:val="00DC368A"/>
    <w:rsid w:val="00DC683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EF4AAE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21E9"/>
    <w:rsid w:val="00FC092D"/>
    <w:rsid w:val="00FC62B6"/>
    <w:rsid w:val="00FD0683"/>
    <w:rsid w:val="00FD4D07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51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5</cp:revision>
  <dcterms:created xsi:type="dcterms:W3CDTF">2024-11-22T08:36:00Z</dcterms:created>
  <dcterms:modified xsi:type="dcterms:W3CDTF">2024-11-22T09:35:00Z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