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677E68" w:rsidRDefault="00677E68" w:rsidP="00F900AC"/>
    <w:p w14:paraId="07F4E99C" w14:textId="2861A03F" w:rsidR="00F0319D" w:rsidRPr="00F0319D" w:rsidRDefault="00F0319D" w:rsidP="00F0319D">
      <w:pPr>
        <w:rPr>
          <w:b/>
          <w:bCs/>
          <w:sz w:val="28"/>
          <w:szCs w:val="28"/>
        </w:rPr>
      </w:pPr>
      <w:bookmarkStart w:id="0" w:name="_Hlk188275423"/>
      <w:r w:rsidRPr="00F0319D">
        <w:rPr>
          <w:b/>
          <w:bCs/>
          <w:sz w:val="28"/>
          <w:szCs w:val="28"/>
        </w:rPr>
        <w:t xml:space="preserve">Prevence tlakových rázů: </w:t>
      </w:r>
      <w:r w:rsidR="00BB68AD" w:rsidRPr="00BB68AD">
        <w:rPr>
          <w:b/>
          <w:bCs/>
          <w:sz w:val="28"/>
          <w:szCs w:val="28"/>
        </w:rPr>
        <w:t>HENNLICH přichází s t</w:t>
      </w:r>
      <w:r w:rsidRPr="00F0319D">
        <w:rPr>
          <w:b/>
          <w:bCs/>
          <w:sz w:val="28"/>
          <w:szCs w:val="28"/>
        </w:rPr>
        <w:t>lumič</w:t>
      </w:r>
      <w:r w:rsidR="00BB68AD" w:rsidRPr="00BB68AD">
        <w:rPr>
          <w:b/>
          <w:bCs/>
          <w:sz w:val="28"/>
          <w:szCs w:val="28"/>
        </w:rPr>
        <w:t>i</w:t>
      </w:r>
      <w:r w:rsidRPr="00F0319D">
        <w:rPr>
          <w:b/>
          <w:bCs/>
          <w:sz w:val="28"/>
          <w:szCs w:val="28"/>
        </w:rPr>
        <w:t xml:space="preserve"> </w:t>
      </w:r>
      <w:r w:rsidR="00BB68AD" w:rsidRPr="00BB68AD">
        <w:rPr>
          <w:b/>
          <w:bCs/>
          <w:sz w:val="28"/>
          <w:szCs w:val="28"/>
        </w:rPr>
        <w:t>pro ochranu</w:t>
      </w:r>
      <w:r w:rsidRPr="00F0319D">
        <w:rPr>
          <w:b/>
          <w:bCs/>
          <w:sz w:val="28"/>
          <w:szCs w:val="28"/>
        </w:rPr>
        <w:t xml:space="preserve"> potrubí</w:t>
      </w:r>
    </w:p>
    <w:p w14:paraId="59B2C3F0" w14:textId="31173B9E" w:rsidR="00F0319D" w:rsidRPr="00F0319D" w:rsidRDefault="00F0319D" w:rsidP="00F0319D">
      <w:pPr>
        <w:jc w:val="both"/>
        <w:rPr>
          <w:b/>
          <w:bCs/>
          <w:sz w:val="24"/>
          <w:szCs w:val="24"/>
        </w:rPr>
      </w:pPr>
      <w:r w:rsidRPr="00F0319D">
        <w:rPr>
          <w:b/>
          <w:bCs/>
          <w:sz w:val="24"/>
          <w:szCs w:val="24"/>
        </w:rPr>
        <w:t xml:space="preserve">Litoměřice, </w:t>
      </w:r>
      <w:r w:rsidR="00E12881">
        <w:rPr>
          <w:b/>
          <w:bCs/>
          <w:sz w:val="24"/>
          <w:szCs w:val="24"/>
        </w:rPr>
        <w:t>31</w:t>
      </w:r>
      <w:r w:rsidRPr="00F0319D">
        <w:rPr>
          <w:b/>
          <w:bCs/>
          <w:sz w:val="24"/>
          <w:szCs w:val="24"/>
        </w:rPr>
        <w:t xml:space="preserve">. </w:t>
      </w:r>
      <w:r w:rsidR="00E12881">
        <w:rPr>
          <w:b/>
          <w:bCs/>
          <w:sz w:val="24"/>
          <w:szCs w:val="24"/>
        </w:rPr>
        <w:t>března</w:t>
      </w:r>
      <w:r w:rsidRPr="00F0319D">
        <w:rPr>
          <w:b/>
          <w:bCs/>
          <w:sz w:val="24"/>
          <w:szCs w:val="24"/>
        </w:rPr>
        <w:t xml:space="preserve"> 2025 – Prudké změny tlaku v potrubí mohou během několika sekund způsobit vážné poruchy vodovodního či kanalizačního systému. Firma HENNLICH přichází </w:t>
      </w:r>
      <w:r>
        <w:rPr>
          <w:b/>
          <w:bCs/>
          <w:sz w:val="24"/>
          <w:szCs w:val="24"/>
        </w:rPr>
        <w:t xml:space="preserve">na český trh </w:t>
      </w:r>
      <w:r w:rsidRPr="00F0319D">
        <w:rPr>
          <w:b/>
          <w:bCs/>
          <w:sz w:val="24"/>
          <w:szCs w:val="24"/>
        </w:rPr>
        <w:t>s inovativním řešením v podobě tlumičů tlakových rázů, které efektivně chrání potrubí před riziky spojenými s tlakem a zároveň minimalizují náklady na opravy.</w:t>
      </w:r>
    </w:p>
    <w:p w14:paraId="3A13A5DB" w14:textId="05DCAF36" w:rsidR="00F0319D" w:rsidRPr="00F0319D" w:rsidRDefault="00F0319D" w:rsidP="00BB68AD">
      <w:pPr>
        <w:jc w:val="both"/>
        <w:rPr>
          <w:b/>
          <w:bCs/>
          <w:sz w:val="24"/>
          <w:szCs w:val="24"/>
        </w:rPr>
      </w:pPr>
      <w:r w:rsidRPr="00F0319D">
        <w:rPr>
          <w:b/>
          <w:bCs/>
          <w:sz w:val="24"/>
          <w:szCs w:val="24"/>
        </w:rPr>
        <w:t>Nebezpečí tlakových rázů</w:t>
      </w:r>
    </w:p>
    <w:p w14:paraId="1ECE89F8" w14:textId="77777777" w:rsidR="00F0319D" w:rsidRPr="00F0319D" w:rsidRDefault="00F0319D" w:rsidP="00BB68AD">
      <w:pPr>
        <w:jc w:val="both"/>
        <w:rPr>
          <w:sz w:val="24"/>
          <w:szCs w:val="24"/>
        </w:rPr>
      </w:pPr>
      <w:r w:rsidRPr="00F0319D">
        <w:rPr>
          <w:sz w:val="24"/>
          <w:szCs w:val="24"/>
        </w:rPr>
        <w:t>Tlakové rázy jsou způsobeny například zapínáním a vypínáním čerpadel, prudkým uzavíráním nebo otevíráním uzavíracích armatur nebo náhlým odběrem velkého množství vody, například při otevření hydrantu. Tyto nečekané změny tlaku mohou způsobit poruchy, a to i u zcela nového potrubí, což může vést k výrazným finančním nákladům na opravy.</w:t>
      </w:r>
    </w:p>
    <w:p w14:paraId="748FA68A" w14:textId="6638B467" w:rsidR="00F0319D" w:rsidRPr="00F0319D" w:rsidRDefault="00F0319D" w:rsidP="00BB68AD">
      <w:pPr>
        <w:jc w:val="both"/>
        <w:rPr>
          <w:b/>
          <w:bCs/>
          <w:sz w:val="24"/>
          <w:szCs w:val="24"/>
        </w:rPr>
      </w:pPr>
      <w:r w:rsidRPr="00F0319D">
        <w:rPr>
          <w:b/>
          <w:bCs/>
          <w:sz w:val="24"/>
          <w:szCs w:val="24"/>
        </w:rPr>
        <w:t xml:space="preserve">Omezení </w:t>
      </w:r>
      <w:r w:rsidR="00AE4D96">
        <w:rPr>
          <w:b/>
          <w:bCs/>
          <w:sz w:val="24"/>
          <w:szCs w:val="24"/>
        </w:rPr>
        <w:t>současného</w:t>
      </w:r>
      <w:r w:rsidRPr="00F0319D">
        <w:rPr>
          <w:b/>
          <w:bCs/>
          <w:sz w:val="24"/>
          <w:szCs w:val="24"/>
        </w:rPr>
        <w:t xml:space="preserve"> řešení</w:t>
      </w:r>
    </w:p>
    <w:p w14:paraId="5922F311" w14:textId="122F9211" w:rsidR="00F0319D" w:rsidRPr="00F0319D" w:rsidRDefault="00F0319D" w:rsidP="00BB68AD">
      <w:pPr>
        <w:tabs>
          <w:tab w:val="num" w:pos="720"/>
        </w:tabs>
        <w:jc w:val="both"/>
        <w:rPr>
          <w:sz w:val="24"/>
          <w:szCs w:val="24"/>
        </w:rPr>
      </w:pPr>
      <w:r w:rsidRPr="00F0319D">
        <w:rPr>
          <w:sz w:val="24"/>
          <w:szCs w:val="24"/>
        </w:rPr>
        <w:t>V České republice se často využívají zařízení jako za-/odvzdušňovací ventily nebo vzdušníky. Tyto technologie však mají svá omezení</w:t>
      </w:r>
      <w:r>
        <w:rPr>
          <w:sz w:val="24"/>
          <w:szCs w:val="24"/>
        </w:rPr>
        <w:t xml:space="preserve">. </w:t>
      </w:r>
      <w:r w:rsidRPr="00F0319D">
        <w:rPr>
          <w:i/>
          <w:iCs/>
          <w:sz w:val="24"/>
          <w:szCs w:val="24"/>
        </w:rPr>
        <w:t xml:space="preserve">„Mechanika těchto ventilů je příliš pomalá a nedokáže reagovat na prudké tlakové změny během sekund. A navíc zavádění vzduchu do potrubí způsobuje kalení vody a ničí biologii v komunálních vodovodních systémech,“ </w:t>
      </w:r>
      <w:r>
        <w:rPr>
          <w:sz w:val="24"/>
          <w:szCs w:val="24"/>
        </w:rPr>
        <w:t xml:space="preserve">vyjmenovává </w:t>
      </w:r>
      <w:r w:rsidRPr="00BB68AD">
        <w:rPr>
          <w:b/>
          <w:bCs/>
          <w:sz w:val="24"/>
          <w:szCs w:val="24"/>
        </w:rPr>
        <w:t>Petr Javanský, vedoucí divize HENNLICH ENERGY</w:t>
      </w:r>
      <w:r>
        <w:rPr>
          <w:sz w:val="24"/>
          <w:szCs w:val="24"/>
        </w:rPr>
        <w:t xml:space="preserve">. </w:t>
      </w:r>
    </w:p>
    <w:p w14:paraId="2CD3C658" w14:textId="19B42F03" w:rsidR="00F0319D" w:rsidRPr="00F0319D" w:rsidRDefault="00F0319D" w:rsidP="00BB68AD">
      <w:pPr>
        <w:jc w:val="both"/>
        <w:rPr>
          <w:sz w:val="24"/>
          <w:szCs w:val="24"/>
        </w:rPr>
      </w:pPr>
      <w:r w:rsidRPr="00F0319D">
        <w:rPr>
          <w:sz w:val="24"/>
          <w:szCs w:val="24"/>
        </w:rPr>
        <w:t>Další</w:t>
      </w:r>
      <w:r>
        <w:rPr>
          <w:sz w:val="24"/>
          <w:szCs w:val="24"/>
        </w:rPr>
        <w:t xml:space="preserve">m používaným řešením </w:t>
      </w:r>
      <w:r w:rsidRPr="00F0319D">
        <w:rPr>
          <w:sz w:val="24"/>
          <w:szCs w:val="24"/>
        </w:rPr>
        <w:t>jsou expanzní nádoby, které jsou však konstrukčně určeny pro pomalé změny tlaku a nejsou schopny zajistit ochranu proti tlakovým rázům. Při velkém rázu může dojít k protržení membrány nebo dokonce samotné nádoby.</w:t>
      </w:r>
    </w:p>
    <w:p w14:paraId="536CD869" w14:textId="733D0F06" w:rsidR="00F0319D" w:rsidRPr="00F0319D" w:rsidRDefault="00F0319D" w:rsidP="00BB68AD">
      <w:pPr>
        <w:jc w:val="both"/>
        <w:rPr>
          <w:b/>
          <w:bCs/>
          <w:sz w:val="24"/>
          <w:szCs w:val="24"/>
        </w:rPr>
      </w:pPr>
      <w:r w:rsidRPr="00F0319D">
        <w:rPr>
          <w:b/>
          <w:bCs/>
          <w:sz w:val="24"/>
          <w:szCs w:val="24"/>
        </w:rPr>
        <w:t>Tlumiče tlakových rázů: Efektivní a spolehlivé řešení</w:t>
      </w:r>
    </w:p>
    <w:p w14:paraId="1D8BE1D8" w14:textId="68999BDB" w:rsidR="00F0319D" w:rsidRPr="00F0319D" w:rsidRDefault="00F0319D" w:rsidP="00BB68AD">
      <w:pPr>
        <w:tabs>
          <w:tab w:val="num" w:pos="720"/>
        </w:tabs>
        <w:jc w:val="both"/>
        <w:rPr>
          <w:b/>
          <w:bCs/>
          <w:sz w:val="24"/>
          <w:szCs w:val="24"/>
        </w:rPr>
      </w:pPr>
      <w:r w:rsidRPr="00F0319D">
        <w:rPr>
          <w:sz w:val="24"/>
          <w:szCs w:val="24"/>
        </w:rPr>
        <w:t xml:space="preserve">Firma HENNLICH </w:t>
      </w:r>
      <w:r w:rsidR="00BB68AD">
        <w:rPr>
          <w:sz w:val="24"/>
          <w:szCs w:val="24"/>
        </w:rPr>
        <w:t>dodává</w:t>
      </w:r>
      <w:r w:rsidRPr="00F0319D">
        <w:rPr>
          <w:sz w:val="24"/>
          <w:szCs w:val="24"/>
        </w:rPr>
        <w:t xml:space="preserve"> tlumiče tlakových rázů, které jsou navrženy jako vzduchotěsná zařízení a dokážou zajistit maximální ochranu potrubí. Mezi </w:t>
      </w:r>
      <w:r w:rsidR="00BB68AD">
        <w:rPr>
          <w:sz w:val="24"/>
          <w:szCs w:val="24"/>
        </w:rPr>
        <w:t xml:space="preserve">jejich </w:t>
      </w:r>
      <w:r w:rsidRPr="00F0319D">
        <w:rPr>
          <w:sz w:val="24"/>
          <w:szCs w:val="24"/>
        </w:rPr>
        <w:t>hlavní výhody patří</w:t>
      </w:r>
      <w:r>
        <w:rPr>
          <w:sz w:val="24"/>
          <w:szCs w:val="24"/>
        </w:rPr>
        <w:t xml:space="preserve"> k</w:t>
      </w:r>
      <w:r w:rsidRPr="00F0319D">
        <w:rPr>
          <w:sz w:val="24"/>
          <w:szCs w:val="24"/>
        </w:rPr>
        <w:t>onstrukce na míru podložená přesnými výpočty.</w:t>
      </w:r>
      <w:r w:rsidR="00BB68AD">
        <w:rPr>
          <w:sz w:val="24"/>
          <w:szCs w:val="24"/>
        </w:rPr>
        <w:t xml:space="preserve"> </w:t>
      </w:r>
      <w:r w:rsidR="00BB68AD" w:rsidRPr="00BB68AD">
        <w:rPr>
          <w:i/>
          <w:iCs/>
          <w:sz w:val="24"/>
          <w:szCs w:val="24"/>
        </w:rPr>
        <w:t>„P</w:t>
      </w:r>
      <w:r w:rsidRPr="00F0319D">
        <w:rPr>
          <w:i/>
          <w:iCs/>
          <w:sz w:val="24"/>
          <w:szCs w:val="24"/>
        </w:rPr>
        <w:t>ouž</w:t>
      </w:r>
      <w:r w:rsidR="00BB68AD" w:rsidRPr="00BB68AD">
        <w:rPr>
          <w:i/>
          <w:iCs/>
          <w:sz w:val="24"/>
          <w:szCs w:val="24"/>
        </w:rPr>
        <w:t>íváme</w:t>
      </w:r>
      <w:r w:rsidRPr="00F0319D">
        <w:rPr>
          <w:i/>
          <w:iCs/>
          <w:sz w:val="24"/>
          <w:szCs w:val="24"/>
        </w:rPr>
        <w:t xml:space="preserve"> standardizovan</w:t>
      </w:r>
      <w:r w:rsidR="00BB68AD" w:rsidRPr="00BB68AD">
        <w:rPr>
          <w:i/>
          <w:iCs/>
          <w:sz w:val="24"/>
          <w:szCs w:val="24"/>
        </w:rPr>
        <w:t>é</w:t>
      </w:r>
      <w:r w:rsidRPr="00F0319D">
        <w:rPr>
          <w:i/>
          <w:iCs/>
          <w:sz w:val="24"/>
          <w:szCs w:val="24"/>
        </w:rPr>
        <w:t xml:space="preserve"> a cenově dostupn</w:t>
      </w:r>
      <w:r w:rsidR="00BB68AD" w:rsidRPr="00BB68AD">
        <w:rPr>
          <w:i/>
          <w:iCs/>
          <w:sz w:val="24"/>
          <w:szCs w:val="24"/>
        </w:rPr>
        <w:t>é</w:t>
      </w:r>
      <w:r w:rsidRPr="00F0319D">
        <w:rPr>
          <w:i/>
          <w:iCs/>
          <w:sz w:val="24"/>
          <w:szCs w:val="24"/>
        </w:rPr>
        <w:t xml:space="preserve"> produkt</w:t>
      </w:r>
      <w:r w:rsidR="00BB68AD" w:rsidRPr="00BB68AD">
        <w:rPr>
          <w:i/>
          <w:iCs/>
          <w:sz w:val="24"/>
          <w:szCs w:val="24"/>
        </w:rPr>
        <w:t>y</w:t>
      </w:r>
      <w:r w:rsidRPr="00F0319D">
        <w:rPr>
          <w:i/>
          <w:iCs/>
          <w:sz w:val="24"/>
          <w:szCs w:val="24"/>
        </w:rPr>
        <w:t>.</w:t>
      </w:r>
      <w:r w:rsidR="00BB68AD" w:rsidRPr="00BB68AD">
        <w:rPr>
          <w:i/>
          <w:iCs/>
          <w:sz w:val="24"/>
          <w:szCs w:val="24"/>
        </w:rPr>
        <w:t xml:space="preserve"> </w:t>
      </w:r>
      <w:r w:rsidRPr="00F0319D">
        <w:rPr>
          <w:i/>
          <w:iCs/>
          <w:sz w:val="24"/>
          <w:szCs w:val="24"/>
        </w:rPr>
        <w:t xml:space="preserve">Vak tlumiče je </w:t>
      </w:r>
      <w:r w:rsidR="00BB68AD" w:rsidRPr="00BB68AD">
        <w:rPr>
          <w:i/>
          <w:iCs/>
          <w:sz w:val="24"/>
          <w:szCs w:val="24"/>
        </w:rPr>
        <w:t xml:space="preserve">také </w:t>
      </w:r>
      <w:r w:rsidRPr="00F0319D">
        <w:rPr>
          <w:i/>
          <w:iCs/>
          <w:sz w:val="24"/>
          <w:szCs w:val="24"/>
        </w:rPr>
        <w:t>navržen tak, aby zvládl celý objem tlakové nádoby, čímž je zajištěna maximální spolehlivost.</w:t>
      </w:r>
      <w:r w:rsidR="00BB68AD" w:rsidRPr="00BB68AD">
        <w:rPr>
          <w:i/>
          <w:iCs/>
          <w:sz w:val="24"/>
          <w:szCs w:val="24"/>
        </w:rPr>
        <w:t xml:space="preserve"> </w:t>
      </w:r>
      <w:r w:rsidRPr="00F0319D">
        <w:rPr>
          <w:i/>
          <w:iCs/>
          <w:sz w:val="24"/>
          <w:szCs w:val="24"/>
        </w:rPr>
        <w:t>Naše tlumiče rázů jsou navrženy tak, aby efektivně chránily potrubí před náhlými a prudkými změnami tlaku. Tento přístup pomáhá nejen předcházet poruchám, ale také šetří náklady našich zákazníků,“</w:t>
      </w:r>
      <w:r w:rsidRPr="00F0319D">
        <w:rPr>
          <w:sz w:val="24"/>
          <w:szCs w:val="24"/>
        </w:rPr>
        <w:t xml:space="preserve"> vysvětluje </w:t>
      </w:r>
      <w:r w:rsidR="00BB68AD" w:rsidRPr="00BB68AD">
        <w:rPr>
          <w:b/>
          <w:bCs/>
          <w:sz w:val="24"/>
          <w:szCs w:val="24"/>
        </w:rPr>
        <w:t xml:space="preserve">Petr Javanský. </w:t>
      </w:r>
    </w:p>
    <w:p w14:paraId="0F62F75C" w14:textId="6B25CA4F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  <w:r w:rsidR="009E49E9">
        <w:rPr>
          <w:b/>
          <w:bCs/>
        </w:rPr>
        <w:br/>
      </w:r>
    </w:p>
    <w:p w14:paraId="37D115DA" w14:textId="7EB9827B" w:rsidR="008554E9" w:rsidRPr="008554E9" w:rsidRDefault="008554E9" w:rsidP="00F900AC">
      <w:hyperlink r:id="rId11" w:history="1">
        <w:r w:rsidRPr="008554E9">
          <w:rPr>
            <w:rStyle w:val="Hypertextovodkaz"/>
          </w:rPr>
          <w:t>https://www.hennlich.cz/energy/aktuality/prevence-tlakovych-razu-hennlich-prichazi-s-tlumici-pro-ochranu-potrubi/?utm_source=PR&amp;utm_medium=TZ&amp;utm_campaign=TZ_HENNLICH_2025_03_31_Prevence+tlakov%C3%BDch+r%C3%A1z%C5%AF</w:t>
        </w:r>
      </w:hyperlink>
    </w:p>
    <w:p w14:paraId="6B12445B" w14:textId="77777777" w:rsidR="008554E9" w:rsidRDefault="008554E9" w:rsidP="00F900AC">
      <w:pPr>
        <w:rPr>
          <w:b/>
          <w:bCs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lastRenderedPageBreak/>
        <w:t>Obrázek:</w:t>
      </w:r>
    </w:p>
    <w:p w14:paraId="0F06FB88" w14:textId="2BDB5080" w:rsidR="008F7044" w:rsidRPr="00A16B34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5340E5">
        <w:rPr>
          <w:b/>
          <w:bCs/>
          <w:noProof/>
        </w:rPr>
        <w:drawing>
          <wp:inline distT="0" distB="0" distL="0" distR="0" wp14:anchorId="597FBB9C" wp14:editId="409E532A">
            <wp:extent cx="3076575" cy="2177268"/>
            <wp:effectExtent l="0" t="0" r="0" b="0"/>
            <wp:docPr id="1889308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57" cy="21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0E5">
        <w:rPr>
          <w:b/>
          <w:bCs/>
          <w:noProof/>
        </w:rPr>
        <w:drawing>
          <wp:inline distT="0" distB="0" distL="0" distR="0" wp14:anchorId="0B131794" wp14:editId="29E13AED">
            <wp:extent cx="3041788" cy="2152650"/>
            <wp:effectExtent l="0" t="0" r="6350" b="0"/>
            <wp:docPr id="3714106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50" cy="21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719" w14:textId="77777777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1908FA5C" w14:textId="3A32EFD8" w:rsidR="008F7044" w:rsidRPr="008F7044" w:rsidRDefault="006B1D81" w:rsidP="00677E68">
      <w:pPr>
        <w:rPr>
          <w:b/>
          <w:bCs/>
        </w:rPr>
      </w:pPr>
      <w:r w:rsidRPr="006B1D81">
        <w:rPr>
          <w:b/>
          <w:bCs/>
        </w:rPr>
        <w:t xml:space="preserve">Tlumiče tlakových rázů HENNLICH jsou navrženy jako vzduchotěsná zařízení a dokážou zajistit maximální ochranu vodovodního či kanalizačního potrubí při prudkých změnách tlaku. Zařízení tak nejenže předchází poruchám, ale také šetří náklady provozovatelů těchto systémů. </w:t>
      </w:r>
      <w:r w:rsidR="0054187C">
        <w:rPr>
          <w:b/>
          <w:bCs/>
        </w:rPr>
        <w:t>(FOTO: HENNLICH)</w:t>
      </w:r>
    </w:p>
    <w:bookmarkEnd w:id="0"/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4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F008" w14:textId="77777777" w:rsidR="00C93088" w:rsidRDefault="00C93088" w:rsidP="00416EE5">
      <w:pPr>
        <w:spacing w:after="0" w:line="240" w:lineRule="auto"/>
      </w:pPr>
      <w:r>
        <w:separator/>
      </w:r>
    </w:p>
  </w:endnote>
  <w:endnote w:type="continuationSeparator" w:id="0">
    <w:p w14:paraId="65ED328A" w14:textId="77777777" w:rsidR="00C93088" w:rsidRDefault="00C93088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B0CA" w14:textId="77777777" w:rsidR="00C93088" w:rsidRDefault="00C93088" w:rsidP="00416EE5">
      <w:pPr>
        <w:spacing w:after="0" w:line="240" w:lineRule="auto"/>
      </w:pPr>
      <w:r>
        <w:separator/>
      </w:r>
    </w:p>
  </w:footnote>
  <w:footnote w:type="continuationSeparator" w:id="0">
    <w:p w14:paraId="593F2234" w14:textId="77777777" w:rsidR="00C93088" w:rsidRDefault="00C93088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08D6"/>
    <w:multiLevelType w:val="multilevel"/>
    <w:tmpl w:val="34B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F75D4"/>
    <w:multiLevelType w:val="multilevel"/>
    <w:tmpl w:val="38B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2"/>
  </w:num>
  <w:num w:numId="2" w16cid:durableId="1396583695">
    <w:abstractNumId w:val="0"/>
  </w:num>
  <w:num w:numId="3" w16cid:durableId="27958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4C64"/>
    <w:rsid w:val="00007434"/>
    <w:rsid w:val="00010AAE"/>
    <w:rsid w:val="000148EA"/>
    <w:rsid w:val="00014ACA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C4184"/>
    <w:rsid w:val="000E12CA"/>
    <w:rsid w:val="000F674D"/>
    <w:rsid w:val="0010113A"/>
    <w:rsid w:val="0010150D"/>
    <w:rsid w:val="00102E50"/>
    <w:rsid w:val="00106892"/>
    <w:rsid w:val="00113387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3A12"/>
    <w:rsid w:val="003374AA"/>
    <w:rsid w:val="0034597E"/>
    <w:rsid w:val="00347F0C"/>
    <w:rsid w:val="0035126E"/>
    <w:rsid w:val="00352499"/>
    <w:rsid w:val="00357D10"/>
    <w:rsid w:val="0036025B"/>
    <w:rsid w:val="00381004"/>
    <w:rsid w:val="00390557"/>
    <w:rsid w:val="003913EE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871CF"/>
    <w:rsid w:val="00491017"/>
    <w:rsid w:val="004913D4"/>
    <w:rsid w:val="004922D5"/>
    <w:rsid w:val="00493D3C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12891"/>
    <w:rsid w:val="00532380"/>
    <w:rsid w:val="005340E5"/>
    <w:rsid w:val="00536565"/>
    <w:rsid w:val="0054187C"/>
    <w:rsid w:val="00542F5A"/>
    <w:rsid w:val="00542F8B"/>
    <w:rsid w:val="00545C3C"/>
    <w:rsid w:val="005557B4"/>
    <w:rsid w:val="00557A5E"/>
    <w:rsid w:val="005638CA"/>
    <w:rsid w:val="00565878"/>
    <w:rsid w:val="0056623F"/>
    <w:rsid w:val="00573D17"/>
    <w:rsid w:val="00582740"/>
    <w:rsid w:val="005874BB"/>
    <w:rsid w:val="00590C49"/>
    <w:rsid w:val="005B222A"/>
    <w:rsid w:val="005C14B4"/>
    <w:rsid w:val="005D28B5"/>
    <w:rsid w:val="005E458B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B1D81"/>
    <w:rsid w:val="006C129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4BED"/>
    <w:rsid w:val="00735CF7"/>
    <w:rsid w:val="00743360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14D6"/>
    <w:rsid w:val="007D6735"/>
    <w:rsid w:val="007E0BB8"/>
    <w:rsid w:val="007E515A"/>
    <w:rsid w:val="007F0E6E"/>
    <w:rsid w:val="007F1B8C"/>
    <w:rsid w:val="00804017"/>
    <w:rsid w:val="00811E1D"/>
    <w:rsid w:val="008229F6"/>
    <w:rsid w:val="00823FA7"/>
    <w:rsid w:val="00824980"/>
    <w:rsid w:val="00844999"/>
    <w:rsid w:val="008554E9"/>
    <w:rsid w:val="00865571"/>
    <w:rsid w:val="00872E97"/>
    <w:rsid w:val="00881B34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B7C50"/>
    <w:rsid w:val="008C09A3"/>
    <w:rsid w:val="008C5504"/>
    <w:rsid w:val="008D6E0D"/>
    <w:rsid w:val="008E6F61"/>
    <w:rsid w:val="008F1289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C6F28"/>
    <w:rsid w:val="009D0389"/>
    <w:rsid w:val="009E0997"/>
    <w:rsid w:val="009E39F8"/>
    <w:rsid w:val="009E4084"/>
    <w:rsid w:val="009E49E9"/>
    <w:rsid w:val="009F63C8"/>
    <w:rsid w:val="00A02FDB"/>
    <w:rsid w:val="00A05571"/>
    <w:rsid w:val="00A25294"/>
    <w:rsid w:val="00A276E1"/>
    <w:rsid w:val="00A3074E"/>
    <w:rsid w:val="00A42BAC"/>
    <w:rsid w:val="00A43DA2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4D96"/>
    <w:rsid w:val="00AE50C9"/>
    <w:rsid w:val="00AF1F85"/>
    <w:rsid w:val="00AF7F50"/>
    <w:rsid w:val="00B02CD8"/>
    <w:rsid w:val="00B03895"/>
    <w:rsid w:val="00B13B11"/>
    <w:rsid w:val="00B24B7E"/>
    <w:rsid w:val="00B329AD"/>
    <w:rsid w:val="00B540BA"/>
    <w:rsid w:val="00B64444"/>
    <w:rsid w:val="00B64BCE"/>
    <w:rsid w:val="00B72FE8"/>
    <w:rsid w:val="00B82640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B68AD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16D3"/>
    <w:rsid w:val="00BF54A1"/>
    <w:rsid w:val="00C0234E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93088"/>
    <w:rsid w:val="00CA3D46"/>
    <w:rsid w:val="00CA4BF7"/>
    <w:rsid w:val="00CC03C8"/>
    <w:rsid w:val="00CC24DB"/>
    <w:rsid w:val="00CC4C24"/>
    <w:rsid w:val="00CC50F8"/>
    <w:rsid w:val="00CD4346"/>
    <w:rsid w:val="00CD7380"/>
    <w:rsid w:val="00CF6F1B"/>
    <w:rsid w:val="00D00C5E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7219"/>
    <w:rsid w:val="00DB18E8"/>
    <w:rsid w:val="00DB24E8"/>
    <w:rsid w:val="00DC368A"/>
    <w:rsid w:val="00DC6838"/>
    <w:rsid w:val="00DF7027"/>
    <w:rsid w:val="00E00778"/>
    <w:rsid w:val="00E065DB"/>
    <w:rsid w:val="00E12881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3AFF"/>
    <w:rsid w:val="00EB4964"/>
    <w:rsid w:val="00EB51FA"/>
    <w:rsid w:val="00EB5EBA"/>
    <w:rsid w:val="00EC0532"/>
    <w:rsid w:val="00ED1BA5"/>
    <w:rsid w:val="00ED59C1"/>
    <w:rsid w:val="00EE573D"/>
    <w:rsid w:val="00EF4AAE"/>
    <w:rsid w:val="00EF6F7F"/>
    <w:rsid w:val="00EF7835"/>
    <w:rsid w:val="00F0319D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1509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energy/aktuality/prevence-tlakovych-razu-hennlich-prichazi-s-tlumici-pro-ochranu-potrubi/?utm_source=PR&amp;utm_medium=TZ&amp;utm_campaign=TZ_HENNLICH_2025_03_31_Prevence+tlakov%C3%BDch+r%C3%A1z%C5%A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20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8</cp:revision>
  <dcterms:created xsi:type="dcterms:W3CDTF">2025-01-27T08:28:00Z</dcterms:created>
  <dcterms:modified xsi:type="dcterms:W3CDTF">2025-03-31T10:49:00Z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