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DD9C" w14:textId="5196AF92" w:rsidR="001B3440" w:rsidRPr="001B3440" w:rsidRDefault="001B3440" w:rsidP="001B3440">
      <w:pPr>
        <w:rPr>
          <w:b/>
          <w:bCs/>
          <w:sz w:val="28"/>
          <w:szCs w:val="28"/>
        </w:rPr>
      </w:pPr>
      <w:bookmarkStart w:id="0" w:name="_Hlk188275423"/>
      <w:r w:rsidRPr="001B3440">
        <w:rPr>
          <w:b/>
          <w:bCs/>
          <w:sz w:val="28"/>
          <w:szCs w:val="28"/>
        </w:rPr>
        <w:t xml:space="preserve">HENNLICH </w:t>
      </w:r>
      <w:r w:rsidR="004B79E9">
        <w:rPr>
          <w:b/>
          <w:bCs/>
          <w:sz w:val="28"/>
          <w:szCs w:val="28"/>
        </w:rPr>
        <w:t xml:space="preserve">dodává chladiče pro širokorozchodné lokomotivy </w:t>
      </w:r>
    </w:p>
    <w:p w14:paraId="6BF181EF" w14:textId="4D115E77" w:rsidR="001B3440" w:rsidRPr="001B3440" w:rsidRDefault="001B3440" w:rsidP="00C275FF">
      <w:pPr>
        <w:jc w:val="both"/>
        <w:rPr>
          <w:b/>
          <w:bCs/>
          <w:sz w:val="24"/>
          <w:szCs w:val="24"/>
        </w:rPr>
      </w:pPr>
      <w:r w:rsidRPr="001B3440">
        <w:rPr>
          <w:b/>
          <w:bCs/>
          <w:sz w:val="24"/>
          <w:szCs w:val="24"/>
        </w:rPr>
        <w:t xml:space="preserve">Litoměřice, </w:t>
      </w:r>
      <w:r w:rsidR="00C744AB">
        <w:rPr>
          <w:b/>
          <w:bCs/>
          <w:sz w:val="24"/>
          <w:szCs w:val="24"/>
        </w:rPr>
        <w:t>10</w:t>
      </w:r>
      <w:r w:rsidRPr="001B3440">
        <w:rPr>
          <w:b/>
          <w:bCs/>
          <w:sz w:val="24"/>
          <w:szCs w:val="24"/>
        </w:rPr>
        <w:t>. ledna 2025 –</w:t>
      </w:r>
      <w:r w:rsidR="004B79E9">
        <w:rPr>
          <w:b/>
          <w:bCs/>
          <w:sz w:val="24"/>
          <w:szCs w:val="24"/>
        </w:rPr>
        <w:t xml:space="preserve"> N</w:t>
      </w:r>
      <w:r w:rsidRPr="001B3440">
        <w:rPr>
          <w:b/>
          <w:bCs/>
          <w:sz w:val="24"/>
          <w:szCs w:val="24"/>
        </w:rPr>
        <w:t xml:space="preserve">a širokorozchodné trati v Čierné nad Teplou budou pracovat nové chladiče společnosti HENNLICH.Ty firma dodala pro lokomotivy řady 774. Chladiče navržené pro motor Caterpillar CAT 3512C HD o výkonu 1550 kW a certifikované pro železniční dopravu, představují spolehlivé řešení pro chlazení </w:t>
      </w:r>
      <w:r w:rsidR="004B79E9">
        <w:rPr>
          <w:b/>
          <w:bCs/>
          <w:sz w:val="24"/>
          <w:szCs w:val="24"/>
        </w:rPr>
        <w:t>motorů</w:t>
      </w:r>
      <w:r w:rsidRPr="001B3440">
        <w:rPr>
          <w:b/>
          <w:bCs/>
          <w:sz w:val="24"/>
          <w:szCs w:val="24"/>
        </w:rPr>
        <w:t xml:space="preserve">. </w:t>
      </w:r>
    </w:p>
    <w:p w14:paraId="2B12ACFB" w14:textId="19C8C1CD" w:rsidR="001B3440" w:rsidRPr="00BE23A1" w:rsidRDefault="001B3440" w:rsidP="00C275FF">
      <w:pPr>
        <w:jc w:val="both"/>
      </w:pPr>
      <w:r w:rsidRPr="001B3440">
        <w:t xml:space="preserve">Chladiče společnosti HENNLICH se mohou </w:t>
      </w:r>
      <w:r w:rsidR="004B79E9">
        <w:t xml:space="preserve">dlouhodobě </w:t>
      </w:r>
      <w:r w:rsidRPr="001B3440">
        <w:t xml:space="preserve">pochlubit spolehlivostí. </w:t>
      </w:r>
      <w:r w:rsidRPr="00C275FF">
        <w:rPr>
          <w:i/>
          <w:iCs/>
        </w:rPr>
        <w:t>„</w:t>
      </w:r>
      <w:r w:rsidRPr="001B3440">
        <w:rPr>
          <w:i/>
          <w:iCs/>
        </w:rPr>
        <w:t xml:space="preserve">Za více než osm let </w:t>
      </w:r>
      <w:r w:rsidRPr="00BE23A1">
        <w:rPr>
          <w:i/>
          <w:iCs/>
        </w:rPr>
        <w:t xml:space="preserve">spolupráce s předním českým výrobcem lokomotiv jsme dodali </w:t>
      </w:r>
      <w:r w:rsidR="004B79E9" w:rsidRPr="00BE23A1">
        <w:rPr>
          <w:i/>
          <w:iCs/>
        </w:rPr>
        <w:t>zhruba</w:t>
      </w:r>
      <w:r w:rsidRPr="00BE23A1">
        <w:rPr>
          <w:i/>
          <w:iCs/>
        </w:rPr>
        <w:t xml:space="preserve"> 300 chladičů. To je důkazem, že v</w:t>
      </w:r>
      <w:r w:rsidR="004B79E9" w:rsidRPr="00BE23A1">
        <w:rPr>
          <w:i/>
          <w:iCs/>
        </w:rPr>
        <w:t xml:space="preserve"> různě </w:t>
      </w:r>
      <w:r w:rsidRPr="00BE23A1">
        <w:rPr>
          <w:i/>
          <w:iCs/>
        </w:rPr>
        <w:t>náročných podmínkách naše chladiče poskytují dlouhodobou a bezproblémovou funkčnost, což je klíčové pro efektivní provoz na železnici,“</w:t>
      </w:r>
      <w:r w:rsidRPr="00BE23A1">
        <w:t xml:space="preserve"> říká </w:t>
      </w:r>
      <w:r w:rsidRPr="00BE23A1">
        <w:rPr>
          <w:b/>
          <w:bCs/>
        </w:rPr>
        <w:t>Petr Javanský, vedoucí divize HENNLICH ENERGY</w:t>
      </w:r>
      <w:r w:rsidRPr="00BE23A1">
        <w:t xml:space="preserve">. </w:t>
      </w:r>
    </w:p>
    <w:p w14:paraId="4EFCB1E6" w14:textId="26FE2574" w:rsidR="00C275FF" w:rsidRPr="00BE23A1" w:rsidRDefault="001B3440" w:rsidP="00C275FF">
      <w:pPr>
        <w:jc w:val="both"/>
        <w:rPr>
          <w:b/>
          <w:bCs/>
        </w:rPr>
      </w:pPr>
      <w:r w:rsidRPr="00BE23A1">
        <w:rPr>
          <w:b/>
          <w:bCs/>
        </w:rPr>
        <w:t xml:space="preserve">Navrženo </w:t>
      </w:r>
      <w:r w:rsidR="004B79E9" w:rsidRPr="00BE23A1">
        <w:rPr>
          <w:b/>
          <w:bCs/>
        </w:rPr>
        <w:t xml:space="preserve">i </w:t>
      </w:r>
      <w:r w:rsidRPr="00BE23A1">
        <w:rPr>
          <w:b/>
          <w:bCs/>
        </w:rPr>
        <w:t xml:space="preserve">pro </w:t>
      </w:r>
      <w:r w:rsidR="004B79E9" w:rsidRPr="00BE23A1">
        <w:rPr>
          <w:b/>
          <w:bCs/>
        </w:rPr>
        <w:t>náročné podmínky</w:t>
      </w:r>
    </w:p>
    <w:p w14:paraId="0682D61B" w14:textId="4F41AA4F" w:rsidR="001B3440" w:rsidRPr="00BE23A1" w:rsidRDefault="001B3440" w:rsidP="00C275FF">
      <w:pPr>
        <w:jc w:val="both"/>
      </w:pPr>
      <w:r w:rsidRPr="00BE23A1">
        <w:t>Dodané chladiče jsou kombinovaného typu a slouží k chlazení hlavního i vedlejšího vodního okruhu</w:t>
      </w:r>
      <w:r w:rsidR="00C275FF" w:rsidRPr="00BE23A1">
        <w:t xml:space="preserve"> motoru lokomotivy</w:t>
      </w:r>
      <w:r w:rsidRPr="00BE23A1">
        <w:t xml:space="preserve">. I když tato zakázka nevyžadovala specifické inovace, chladiče HENNLICH se běžně přizpůsobují náročným provozním prostředím. </w:t>
      </w:r>
      <w:r w:rsidR="00C275FF" w:rsidRPr="00BE23A1">
        <w:rPr>
          <w:i/>
          <w:iCs/>
        </w:rPr>
        <w:t>„</w:t>
      </w:r>
      <w:r w:rsidRPr="00BE23A1">
        <w:rPr>
          <w:i/>
          <w:iCs/>
        </w:rPr>
        <w:t xml:space="preserve">Jsme schopni dodat řešení například s odolností vůči prašnosti, vysokým teplotám okolí nebo korozivním prostředím díky speciálnímu lakování. </w:t>
      </w:r>
      <w:r w:rsidR="00C275FF" w:rsidRPr="00BE23A1">
        <w:rPr>
          <w:i/>
          <w:iCs/>
        </w:rPr>
        <w:t>Se zákazníky spolupracujeme v mnoha případech od vývojových projektů,“</w:t>
      </w:r>
      <w:r w:rsidR="00C275FF" w:rsidRPr="00BE23A1">
        <w:t xml:space="preserve"> doplňuje </w:t>
      </w:r>
      <w:r w:rsidR="00C275FF" w:rsidRPr="00BE23A1">
        <w:rPr>
          <w:b/>
          <w:bCs/>
        </w:rPr>
        <w:t>Petr Javanský</w:t>
      </w:r>
      <w:r w:rsidR="00C275FF" w:rsidRPr="00BE23A1">
        <w:t xml:space="preserve">. </w:t>
      </w:r>
    </w:p>
    <w:p w14:paraId="2D7F8035" w14:textId="77777777" w:rsidR="00C275FF" w:rsidRPr="00BE23A1" w:rsidRDefault="001B3440" w:rsidP="00C275FF">
      <w:pPr>
        <w:jc w:val="both"/>
        <w:rPr>
          <w:b/>
          <w:bCs/>
        </w:rPr>
      </w:pPr>
      <w:r w:rsidRPr="00BE23A1">
        <w:rPr>
          <w:b/>
          <w:bCs/>
        </w:rPr>
        <w:t>Chladiče, bez kterých se lokomotivy neobejdou</w:t>
      </w:r>
    </w:p>
    <w:p w14:paraId="645C70C5" w14:textId="61970C57" w:rsidR="001B3440" w:rsidRPr="00BE23A1" w:rsidRDefault="001B3440" w:rsidP="00C275FF">
      <w:pPr>
        <w:jc w:val="both"/>
      </w:pPr>
      <w:r w:rsidRPr="00BE23A1">
        <w:rPr>
          <w:i/>
          <w:iCs/>
        </w:rPr>
        <w:t>„Naše chladiče jsou klíčovou součástí chladicích jednotek lokomotiv</w:t>
      </w:r>
      <w:r w:rsidR="004B79E9" w:rsidRPr="00BE23A1">
        <w:rPr>
          <w:i/>
          <w:iCs/>
        </w:rPr>
        <w:t>, protože zabraňují přehřívání motorů</w:t>
      </w:r>
      <w:r w:rsidRPr="00BE23A1">
        <w:rPr>
          <w:i/>
          <w:iCs/>
        </w:rPr>
        <w:t>,“</w:t>
      </w:r>
      <w:r w:rsidRPr="00BE23A1">
        <w:t xml:space="preserve"> říká </w:t>
      </w:r>
      <w:r w:rsidR="00C275FF" w:rsidRPr="00BE23A1">
        <w:rPr>
          <w:b/>
          <w:bCs/>
        </w:rPr>
        <w:t>vedoucí divize HENNLICH ENERGY</w:t>
      </w:r>
      <w:r w:rsidRPr="00BE23A1">
        <w:t>. Ačkoliv chladiče přímo nezvyšují výkon lokomotivy, jejich spolehliv</w:t>
      </w:r>
      <w:r w:rsidR="004B79E9" w:rsidRPr="00BE23A1">
        <w:t>ost je důležitá pro hladký provoz motorů, v tomto případě motorů lokomotivy</w:t>
      </w:r>
      <w:r w:rsidRPr="00BE23A1">
        <w:t xml:space="preserve">. </w:t>
      </w:r>
    </w:p>
    <w:p w14:paraId="0762F047" w14:textId="77777777" w:rsidR="00C275FF" w:rsidRPr="00BE23A1" w:rsidRDefault="001B3440" w:rsidP="00C275FF">
      <w:pPr>
        <w:jc w:val="both"/>
        <w:rPr>
          <w:b/>
          <w:bCs/>
        </w:rPr>
      </w:pPr>
      <w:r w:rsidRPr="00BE23A1">
        <w:rPr>
          <w:b/>
          <w:bCs/>
        </w:rPr>
        <w:t>Budoucnost chlazení v těžkých provozech</w:t>
      </w:r>
    </w:p>
    <w:p w14:paraId="495F20CA" w14:textId="23B13C67" w:rsidR="001B3440" w:rsidRPr="001B3440" w:rsidRDefault="001B3440" w:rsidP="00C275FF">
      <w:pPr>
        <w:jc w:val="both"/>
      </w:pPr>
      <w:r w:rsidRPr="00BE23A1">
        <w:t>HENNLICH dodává chladiče nejen pro železniční sektor, ale také pro těžební techniku, důlní</w:t>
      </w:r>
      <w:r w:rsidRPr="001B3440">
        <w:t xml:space="preserve"> lokomotivy, osobní vlaky či lesní stroje. Díky dlouhodobým zkušenostem dokáže navrhnout chladiče na míru, včetně kompletního engineeringu, termodynamických výpočtů a 3D modelů, což umožňuje </w:t>
      </w:r>
      <w:r w:rsidR="00C275FF" w:rsidRPr="00C275FF">
        <w:t>zajistit kompletní dodávky</w:t>
      </w:r>
      <w:r w:rsidRPr="001B3440">
        <w:t xml:space="preserve">. </w:t>
      </w:r>
    </w:p>
    <w:p w14:paraId="15086592" w14:textId="77777777" w:rsidR="00C275FF" w:rsidRDefault="00C275FF" w:rsidP="00F900AC">
      <w:pPr>
        <w:rPr>
          <w:b/>
          <w:bCs/>
        </w:rPr>
      </w:pPr>
    </w:p>
    <w:p w14:paraId="0F62F75C" w14:textId="086E92F5" w:rsidR="00EF4AAE" w:rsidRDefault="0022456E" w:rsidP="00F900AC">
      <w:pPr>
        <w:rPr>
          <w:b/>
          <w:bCs/>
        </w:rPr>
      </w:pPr>
      <w:r>
        <w:rPr>
          <w:b/>
          <w:bCs/>
        </w:rPr>
        <w:t>Link na zprávu:</w:t>
      </w:r>
      <w:r w:rsidR="009E49E9">
        <w:rPr>
          <w:b/>
          <w:bCs/>
        </w:rPr>
        <w:br/>
      </w:r>
    </w:p>
    <w:p w14:paraId="49779806" w14:textId="77777777" w:rsidR="009E49E9" w:rsidRDefault="009E49E9" w:rsidP="00F900AC">
      <w:pPr>
        <w:rPr>
          <w:b/>
          <w:bCs/>
        </w:rPr>
      </w:pPr>
    </w:p>
    <w:p w14:paraId="4DA2D8F0" w14:textId="0148F9A6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0F06FB88" w14:textId="3D298627" w:rsidR="008F7044" w:rsidRPr="00A16B34" w:rsidRDefault="009E0997" w:rsidP="008F7044">
      <w:pPr>
        <w:rPr>
          <w:b/>
          <w:bCs/>
        </w:rPr>
      </w:pPr>
      <w:r>
        <w:rPr>
          <w:b/>
          <w:bCs/>
        </w:rPr>
        <w:lastRenderedPageBreak/>
        <w:t xml:space="preserve"> </w:t>
      </w:r>
      <w:r w:rsidR="0043312B">
        <w:rPr>
          <w:b/>
          <w:bCs/>
          <w:noProof/>
        </w:rPr>
        <w:drawing>
          <wp:inline distT="0" distB="0" distL="0" distR="0" wp14:anchorId="4F15299D" wp14:editId="51773592">
            <wp:extent cx="4823523" cy="3619500"/>
            <wp:effectExtent l="0" t="0" r="0" b="0"/>
            <wp:docPr id="18005198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013" cy="362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8644B" w14:textId="77777777" w:rsidR="005F062C" w:rsidRDefault="008F7044" w:rsidP="005F062C">
      <w:pPr>
        <w:jc w:val="both"/>
        <w:rPr>
          <w:b/>
          <w:bCs/>
        </w:rPr>
      </w:pPr>
      <w:r w:rsidRPr="00A16B34">
        <w:rPr>
          <w:b/>
          <w:bCs/>
        </w:rPr>
        <w:t>Popis obrázku:</w:t>
      </w:r>
    </w:p>
    <w:p w14:paraId="31A582C8" w14:textId="51C94993" w:rsidR="005F062C" w:rsidRPr="001B3440" w:rsidRDefault="005F062C" w:rsidP="005F062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1B3440">
        <w:rPr>
          <w:b/>
          <w:bCs/>
          <w:sz w:val="24"/>
          <w:szCs w:val="24"/>
        </w:rPr>
        <w:t xml:space="preserve">a širokorozchodné trati v Čierné nad Teplou budou pracovat nové chladiče společnosti HENNLICH.Ty firma dodala pro lokomotivy řady 774. Chladiče navržené pro motor Caterpillar CAT 3512C HD o výkonu 1550 kW a certifikované pro železniční dopravu, představují spolehlivé řešení pro chlazení </w:t>
      </w:r>
      <w:r>
        <w:rPr>
          <w:b/>
          <w:bCs/>
          <w:sz w:val="24"/>
          <w:szCs w:val="24"/>
        </w:rPr>
        <w:t>motorů</w:t>
      </w:r>
      <w:r w:rsidRPr="001B3440">
        <w:rPr>
          <w:b/>
          <w:bCs/>
          <w:sz w:val="24"/>
          <w:szCs w:val="24"/>
        </w:rPr>
        <w:t xml:space="preserve">. </w:t>
      </w:r>
    </w:p>
    <w:p w14:paraId="587F1719" w14:textId="3596EFB9" w:rsidR="00542F5A" w:rsidRDefault="00542F5A" w:rsidP="00677E68">
      <w:pPr>
        <w:rPr>
          <w:b/>
          <w:bCs/>
        </w:rPr>
      </w:pPr>
    </w:p>
    <w:p w14:paraId="1908FA5C" w14:textId="00638101" w:rsidR="008F7044" w:rsidRPr="008F7044" w:rsidRDefault="00D33D30" w:rsidP="00677E68">
      <w:pPr>
        <w:rPr>
          <w:b/>
          <w:bCs/>
        </w:rPr>
      </w:pPr>
      <w:r>
        <w:rPr>
          <w:b/>
          <w:bCs/>
        </w:rPr>
        <w:t xml:space="preserve"> </w:t>
      </w:r>
      <w:r w:rsidR="0054187C">
        <w:rPr>
          <w:b/>
          <w:bCs/>
        </w:rPr>
        <w:t>(FOTO: HENNLICH)</w:t>
      </w:r>
    </w:p>
    <w:bookmarkEnd w:id="0"/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lastRenderedPageBreak/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>Od konce války společnost sídlí v rakouském Schärdingu.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41797" w14:textId="77777777" w:rsidR="001B3C3C" w:rsidRDefault="001B3C3C" w:rsidP="00416EE5">
      <w:pPr>
        <w:spacing w:after="0" w:line="240" w:lineRule="auto"/>
      </w:pPr>
      <w:r>
        <w:separator/>
      </w:r>
    </w:p>
  </w:endnote>
  <w:endnote w:type="continuationSeparator" w:id="0">
    <w:p w14:paraId="61B8B6FC" w14:textId="77777777" w:rsidR="001B3C3C" w:rsidRDefault="001B3C3C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D4FF5" w14:textId="77777777" w:rsidR="001B3C3C" w:rsidRDefault="001B3C3C" w:rsidP="00416EE5">
      <w:pPr>
        <w:spacing w:after="0" w:line="240" w:lineRule="auto"/>
      </w:pPr>
      <w:r>
        <w:separator/>
      </w:r>
    </w:p>
  </w:footnote>
  <w:footnote w:type="continuationSeparator" w:id="0">
    <w:p w14:paraId="456A532F" w14:textId="77777777" w:rsidR="001B3C3C" w:rsidRDefault="001B3C3C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0FF8"/>
    <w:rsid w:val="0000106D"/>
    <w:rsid w:val="00002491"/>
    <w:rsid w:val="00003298"/>
    <w:rsid w:val="00004C64"/>
    <w:rsid w:val="00007434"/>
    <w:rsid w:val="00010AAE"/>
    <w:rsid w:val="000148EA"/>
    <w:rsid w:val="00014ACA"/>
    <w:rsid w:val="00021A4D"/>
    <w:rsid w:val="00025357"/>
    <w:rsid w:val="00025505"/>
    <w:rsid w:val="0003230A"/>
    <w:rsid w:val="000334A7"/>
    <w:rsid w:val="000347BB"/>
    <w:rsid w:val="000355B9"/>
    <w:rsid w:val="00040B6C"/>
    <w:rsid w:val="00047E1A"/>
    <w:rsid w:val="00054CD9"/>
    <w:rsid w:val="00057778"/>
    <w:rsid w:val="00063628"/>
    <w:rsid w:val="00063A83"/>
    <w:rsid w:val="0007276C"/>
    <w:rsid w:val="000752F2"/>
    <w:rsid w:val="00084E1A"/>
    <w:rsid w:val="00085D6E"/>
    <w:rsid w:val="00086723"/>
    <w:rsid w:val="00097CA2"/>
    <w:rsid w:val="000A568E"/>
    <w:rsid w:val="000B62D4"/>
    <w:rsid w:val="000C305F"/>
    <w:rsid w:val="000C4184"/>
    <w:rsid w:val="000E12CA"/>
    <w:rsid w:val="000F674D"/>
    <w:rsid w:val="0010113A"/>
    <w:rsid w:val="0010150D"/>
    <w:rsid w:val="00102E50"/>
    <w:rsid w:val="00106892"/>
    <w:rsid w:val="00113387"/>
    <w:rsid w:val="00131F95"/>
    <w:rsid w:val="00140B71"/>
    <w:rsid w:val="00141FC7"/>
    <w:rsid w:val="00146930"/>
    <w:rsid w:val="001525FE"/>
    <w:rsid w:val="001625AA"/>
    <w:rsid w:val="00164E28"/>
    <w:rsid w:val="0016541C"/>
    <w:rsid w:val="001658D8"/>
    <w:rsid w:val="00167BF6"/>
    <w:rsid w:val="00172494"/>
    <w:rsid w:val="00172F7F"/>
    <w:rsid w:val="001801A8"/>
    <w:rsid w:val="00181625"/>
    <w:rsid w:val="00182435"/>
    <w:rsid w:val="00182AC7"/>
    <w:rsid w:val="00186434"/>
    <w:rsid w:val="0018714F"/>
    <w:rsid w:val="001A1F83"/>
    <w:rsid w:val="001B3440"/>
    <w:rsid w:val="001B3C3C"/>
    <w:rsid w:val="001B6126"/>
    <w:rsid w:val="001C5F51"/>
    <w:rsid w:val="001C7F5A"/>
    <w:rsid w:val="001D25E5"/>
    <w:rsid w:val="001D32F5"/>
    <w:rsid w:val="001E565E"/>
    <w:rsid w:val="001F426C"/>
    <w:rsid w:val="001F4394"/>
    <w:rsid w:val="001F65C4"/>
    <w:rsid w:val="001F7A94"/>
    <w:rsid w:val="002007F6"/>
    <w:rsid w:val="002037BE"/>
    <w:rsid w:val="00203822"/>
    <w:rsid w:val="002051D5"/>
    <w:rsid w:val="0021188C"/>
    <w:rsid w:val="00220031"/>
    <w:rsid w:val="00221589"/>
    <w:rsid w:val="0022219B"/>
    <w:rsid w:val="00222393"/>
    <w:rsid w:val="00222D88"/>
    <w:rsid w:val="0022456E"/>
    <w:rsid w:val="00227FFD"/>
    <w:rsid w:val="002327B5"/>
    <w:rsid w:val="0023337A"/>
    <w:rsid w:val="00240CFA"/>
    <w:rsid w:val="00250108"/>
    <w:rsid w:val="002514CF"/>
    <w:rsid w:val="00252789"/>
    <w:rsid w:val="002528D0"/>
    <w:rsid w:val="00255B42"/>
    <w:rsid w:val="00270570"/>
    <w:rsid w:val="002824B9"/>
    <w:rsid w:val="00286C0C"/>
    <w:rsid w:val="002954B2"/>
    <w:rsid w:val="002973C6"/>
    <w:rsid w:val="002978F6"/>
    <w:rsid w:val="002A4460"/>
    <w:rsid w:val="002A5585"/>
    <w:rsid w:val="002B0B82"/>
    <w:rsid w:val="002C1333"/>
    <w:rsid w:val="002C56ED"/>
    <w:rsid w:val="002E2DFE"/>
    <w:rsid w:val="002E6E18"/>
    <w:rsid w:val="002F29B1"/>
    <w:rsid w:val="002F6AC1"/>
    <w:rsid w:val="00303A40"/>
    <w:rsid w:val="00310BE9"/>
    <w:rsid w:val="003111A2"/>
    <w:rsid w:val="00333A12"/>
    <w:rsid w:val="003374AA"/>
    <w:rsid w:val="0034597E"/>
    <w:rsid w:val="00347F0C"/>
    <w:rsid w:val="00352499"/>
    <w:rsid w:val="0035311D"/>
    <w:rsid w:val="00357D10"/>
    <w:rsid w:val="0036025B"/>
    <w:rsid w:val="00360E8A"/>
    <w:rsid w:val="00381004"/>
    <w:rsid w:val="00390557"/>
    <w:rsid w:val="003913EE"/>
    <w:rsid w:val="003A036E"/>
    <w:rsid w:val="003A4E95"/>
    <w:rsid w:val="003A7262"/>
    <w:rsid w:val="003B1CB9"/>
    <w:rsid w:val="003C2F23"/>
    <w:rsid w:val="003C581D"/>
    <w:rsid w:val="003D46DD"/>
    <w:rsid w:val="003D78B8"/>
    <w:rsid w:val="003E2C90"/>
    <w:rsid w:val="003E5F16"/>
    <w:rsid w:val="003E7937"/>
    <w:rsid w:val="003F6753"/>
    <w:rsid w:val="00407A64"/>
    <w:rsid w:val="00416EE5"/>
    <w:rsid w:val="00430F0D"/>
    <w:rsid w:val="00431A1D"/>
    <w:rsid w:val="0043312B"/>
    <w:rsid w:val="00433405"/>
    <w:rsid w:val="004433C1"/>
    <w:rsid w:val="00444C38"/>
    <w:rsid w:val="00450588"/>
    <w:rsid w:val="004852E5"/>
    <w:rsid w:val="00485BDE"/>
    <w:rsid w:val="0048661E"/>
    <w:rsid w:val="00491017"/>
    <w:rsid w:val="004913D4"/>
    <w:rsid w:val="004922D5"/>
    <w:rsid w:val="0049512E"/>
    <w:rsid w:val="004A03C5"/>
    <w:rsid w:val="004A32D5"/>
    <w:rsid w:val="004A369E"/>
    <w:rsid w:val="004A56B2"/>
    <w:rsid w:val="004B4493"/>
    <w:rsid w:val="004B77CC"/>
    <w:rsid w:val="004B79E9"/>
    <w:rsid w:val="004C2A49"/>
    <w:rsid w:val="004D1106"/>
    <w:rsid w:val="004D6226"/>
    <w:rsid w:val="004D73C9"/>
    <w:rsid w:val="004F5EC1"/>
    <w:rsid w:val="004F607D"/>
    <w:rsid w:val="005016A8"/>
    <w:rsid w:val="00504AE7"/>
    <w:rsid w:val="00532380"/>
    <w:rsid w:val="0054187C"/>
    <w:rsid w:val="00542F5A"/>
    <w:rsid w:val="00542F8B"/>
    <w:rsid w:val="00545C3C"/>
    <w:rsid w:val="005557B4"/>
    <w:rsid w:val="00557A5E"/>
    <w:rsid w:val="005638CA"/>
    <w:rsid w:val="0056623F"/>
    <w:rsid w:val="00573D17"/>
    <w:rsid w:val="00582740"/>
    <w:rsid w:val="005874BB"/>
    <w:rsid w:val="00590C49"/>
    <w:rsid w:val="005B222A"/>
    <w:rsid w:val="005C14B4"/>
    <w:rsid w:val="005D28B5"/>
    <w:rsid w:val="005E1787"/>
    <w:rsid w:val="005E458B"/>
    <w:rsid w:val="005F062C"/>
    <w:rsid w:val="005F28DC"/>
    <w:rsid w:val="005F3F6F"/>
    <w:rsid w:val="005F4EC7"/>
    <w:rsid w:val="00602B3A"/>
    <w:rsid w:val="00603B02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75D7A"/>
    <w:rsid w:val="00677E68"/>
    <w:rsid w:val="00684E29"/>
    <w:rsid w:val="006968D5"/>
    <w:rsid w:val="006A6640"/>
    <w:rsid w:val="006A7D1B"/>
    <w:rsid w:val="006C129B"/>
    <w:rsid w:val="006C1BD0"/>
    <w:rsid w:val="006C4C0E"/>
    <w:rsid w:val="006D692F"/>
    <w:rsid w:val="006E6123"/>
    <w:rsid w:val="006F0EE6"/>
    <w:rsid w:val="006F5050"/>
    <w:rsid w:val="007067B2"/>
    <w:rsid w:val="0070696A"/>
    <w:rsid w:val="00706DC6"/>
    <w:rsid w:val="00715F0E"/>
    <w:rsid w:val="00720EA6"/>
    <w:rsid w:val="00721EF3"/>
    <w:rsid w:val="00727375"/>
    <w:rsid w:val="00734BED"/>
    <w:rsid w:val="00735CF7"/>
    <w:rsid w:val="00743360"/>
    <w:rsid w:val="00752EC1"/>
    <w:rsid w:val="00753A01"/>
    <w:rsid w:val="007572F2"/>
    <w:rsid w:val="007626F2"/>
    <w:rsid w:val="0077038D"/>
    <w:rsid w:val="007739FF"/>
    <w:rsid w:val="0077407E"/>
    <w:rsid w:val="00776B58"/>
    <w:rsid w:val="00792435"/>
    <w:rsid w:val="007951DA"/>
    <w:rsid w:val="007A48E2"/>
    <w:rsid w:val="007C0227"/>
    <w:rsid w:val="007C2890"/>
    <w:rsid w:val="007C39EA"/>
    <w:rsid w:val="007D14D6"/>
    <w:rsid w:val="007D6735"/>
    <w:rsid w:val="007E0BB8"/>
    <w:rsid w:val="007E515A"/>
    <w:rsid w:val="007F0E6E"/>
    <w:rsid w:val="007F1B8C"/>
    <w:rsid w:val="00804017"/>
    <w:rsid w:val="00811E1D"/>
    <w:rsid w:val="008229F6"/>
    <w:rsid w:val="00823FA7"/>
    <w:rsid w:val="00824980"/>
    <w:rsid w:val="00837F57"/>
    <w:rsid w:val="00844999"/>
    <w:rsid w:val="00865571"/>
    <w:rsid w:val="00872E97"/>
    <w:rsid w:val="00884539"/>
    <w:rsid w:val="00886EA7"/>
    <w:rsid w:val="0089185A"/>
    <w:rsid w:val="00894D06"/>
    <w:rsid w:val="00895F21"/>
    <w:rsid w:val="008A0800"/>
    <w:rsid w:val="008A27EB"/>
    <w:rsid w:val="008A65E6"/>
    <w:rsid w:val="008B1640"/>
    <w:rsid w:val="008B7128"/>
    <w:rsid w:val="008B7964"/>
    <w:rsid w:val="008B7C50"/>
    <w:rsid w:val="008C09A3"/>
    <w:rsid w:val="008C5504"/>
    <w:rsid w:val="008D6E0D"/>
    <w:rsid w:val="008E6F61"/>
    <w:rsid w:val="008F1289"/>
    <w:rsid w:val="008F5167"/>
    <w:rsid w:val="008F7044"/>
    <w:rsid w:val="009033B4"/>
    <w:rsid w:val="00912C2E"/>
    <w:rsid w:val="00915698"/>
    <w:rsid w:val="009216DA"/>
    <w:rsid w:val="00926735"/>
    <w:rsid w:val="00930F14"/>
    <w:rsid w:val="00935DCA"/>
    <w:rsid w:val="00944B15"/>
    <w:rsid w:val="00953B89"/>
    <w:rsid w:val="00965C4C"/>
    <w:rsid w:val="00966196"/>
    <w:rsid w:val="00966EE0"/>
    <w:rsid w:val="00972581"/>
    <w:rsid w:val="00974C89"/>
    <w:rsid w:val="00976532"/>
    <w:rsid w:val="009865E1"/>
    <w:rsid w:val="00987F1E"/>
    <w:rsid w:val="009A194F"/>
    <w:rsid w:val="009A447A"/>
    <w:rsid w:val="009A6CF2"/>
    <w:rsid w:val="009B27A0"/>
    <w:rsid w:val="009B3766"/>
    <w:rsid w:val="009B5040"/>
    <w:rsid w:val="009B62EE"/>
    <w:rsid w:val="009B6E54"/>
    <w:rsid w:val="009C6F28"/>
    <w:rsid w:val="009D0389"/>
    <w:rsid w:val="009E0997"/>
    <w:rsid w:val="009E39F8"/>
    <w:rsid w:val="009E4084"/>
    <w:rsid w:val="009E49E9"/>
    <w:rsid w:val="009F63C8"/>
    <w:rsid w:val="00A02FDB"/>
    <w:rsid w:val="00A05571"/>
    <w:rsid w:val="00A25294"/>
    <w:rsid w:val="00A276E1"/>
    <w:rsid w:val="00A3074E"/>
    <w:rsid w:val="00A36355"/>
    <w:rsid w:val="00A42BAC"/>
    <w:rsid w:val="00A43DA2"/>
    <w:rsid w:val="00A50C2D"/>
    <w:rsid w:val="00A63559"/>
    <w:rsid w:val="00A65CDF"/>
    <w:rsid w:val="00A673D5"/>
    <w:rsid w:val="00A70936"/>
    <w:rsid w:val="00A72EA1"/>
    <w:rsid w:val="00A776CF"/>
    <w:rsid w:val="00A81CB8"/>
    <w:rsid w:val="00A9318A"/>
    <w:rsid w:val="00A94A50"/>
    <w:rsid w:val="00AA7C5B"/>
    <w:rsid w:val="00AB2D71"/>
    <w:rsid w:val="00AC1A5F"/>
    <w:rsid w:val="00AC1B8A"/>
    <w:rsid w:val="00AD17DA"/>
    <w:rsid w:val="00AD6627"/>
    <w:rsid w:val="00AE50C9"/>
    <w:rsid w:val="00AF1F85"/>
    <w:rsid w:val="00AF7F50"/>
    <w:rsid w:val="00B02CD8"/>
    <w:rsid w:val="00B03895"/>
    <w:rsid w:val="00B13B11"/>
    <w:rsid w:val="00B24B7E"/>
    <w:rsid w:val="00B329AD"/>
    <w:rsid w:val="00B540BA"/>
    <w:rsid w:val="00B64444"/>
    <w:rsid w:val="00B64BCE"/>
    <w:rsid w:val="00B72FE8"/>
    <w:rsid w:val="00B82640"/>
    <w:rsid w:val="00B82D36"/>
    <w:rsid w:val="00B9433F"/>
    <w:rsid w:val="00B9643C"/>
    <w:rsid w:val="00B9643F"/>
    <w:rsid w:val="00B9644E"/>
    <w:rsid w:val="00B9650B"/>
    <w:rsid w:val="00BA2E84"/>
    <w:rsid w:val="00BA7164"/>
    <w:rsid w:val="00BA7BB5"/>
    <w:rsid w:val="00BB1341"/>
    <w:rsid w:val="00BC0FF8"/>
    <w:rsid w:val="00BC20A1"/>
    <w:rsid w:val="00BC293A"/>
    <w:rsid w:val="00BC43FB"/>
    <w:rsid w:val="00BC61EA"/>
    <w:rsid w:val="00BC74A8"/>
    <w:rsid w:val="00BE0012"/>
    <w:rsid w:val="00BE1B57"/>
    <w:rsid w:val="00BE23A1"/>
    <w:rsid w:val="00BE2902"/>
    <w:rsid w:val="00BE2D21"/>
    <w:rsid w:val="00BF54A1"/>
    <w:rsid w:val="00C0234E"/>
    <w:rsid w:val="00C105CC"/>
    <w:rsid w:val="00C2013D"/>
    <w:rsid w:val="00C275FF"/>
    <w:rsid w:val="00C32A7A"/>
    <w:rsid w:val="00C46AB6"/>
    <w:rsid w:val="00C53BA6"/>
    <w:rsid w:val="00C565AF"/>
    <w:rsid w:val="00C65D6B"/>
    <w:rsid w:val="00C65DA3"/>
    <w:rsid w:val="00C73C23"/>
    <w:rsid w:val="00C744AB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4346"/>
    <w:rsid w:val="00CD7380"/>
    <w:rsid w:val="00CF6F1B"/>
    <w:rsid w:val="00D00C5E"/>
    <w:rsid w:val="00D06E6A"/>
    <w:rsid w:val="00D072F1"/>
    <w:rsid w:val="00D10A2F"/>
    <w:rsid w:val="00D26EA8"/>
    <w:rsid w:val="00D334E9"/>
    <w:rsid w:val="00D33D30"/>
    <w:rsid w:val="00D43B0A"/>
    <w:rsid w:val="00D503FA"/>
    <w:rsid w:val="00D55475"/>
    <w:rsid w:val="00D616F4"/>
    <w:rsid w:val="00D618A8"/>
    <w:rsid w:val="00D667C9"/>
    <w:rsid w:val="00D6739B"/>
    <w:rsid w:val="00D67C33"/>
    <w:rsid w:val="00D74B17"/>
    <w:rsid w:val="00D76223"/>
    <w:rsid w:val="00D8203A"/>
    <w:rsid w:val="00D92E9D"/>
    <w:rsid w:val="00D9379D"/>
    <w:rsid w:val="00D941A9"/>
    <w:rsid w:val="00DA12FE"/>
    <w:rsid w:val="00DA7219"/>
    <w:rsid w:val="00DB18E8"/>
    <w:rsid w:val="00DB24E8"/>
    <w:rsid w:val="00DC368A"/>
    <w:rsid w:val="00DC6838"/>
    <w:rsid w:val="00DF7027"/>
    <w:rsid w:val="00E00778"/>
    <w:rsid w:val="00E208D8"/>
    <w:rsid w:val="00E23966"/>
    <w:rsid w:val="00E26A11"/>
    <w:rsid w:val="00E27F41"/>
    <w:rsid w:val="00E30A0C"/>
    <w:rsid w:val="00E5026E"/>
    <w:rsid w:val="00E61C13"/>
    <w:rsid w:val="00E64458"/>
    <w:rsid w:val="00E66410"/>
    <w:rsid w:val="00E76E0B"/>
    <w:rsid w:val="00E8578D"/>
    <w:rsid w:val="00EA019F"/>
    <w:rsid w:val="00EA4E05"/>
    <w:rsid w:val="00EA7997"/>
    <w:rsid w:val="00EB2B89"/>
    <w:rsid w:val="00EB3AFF"/>
    <w:rsid w:val="00EB4527"/>
    <w:rsid w:val="00EB4964"/>
    <w:rsid w:val="00EB51FA"/>
    <w:rsid w:val="00EB5EBA"/>
    <w:rsid w:val="00EC0532"/>
    <w:rsid w:val="00ED1BA5"/>
    <w:rsid w:val="00EE573D"/>
    <w:rsid w:val="00EF4AAE"/>
    <w:rsid w:val="00EF6F7F"/>
    <w:rsid w:val="00EF7835"/>
    <w:rsid w:val="00F03E88"/>
    <w:rsid w:val="00F065A9"/>
    <w:rsid w:val="00F160DE"/>
    <w:rsid w:val="00F17D64"/>
    <w:rsid w:val="00F235A3"/>
    <w:rsid w:val="00F30C6B"/>
    <w:rsid w:val="00F4657D"/>
    <w:rsid w:val="00F469AC"/>
    <w:rsid w:val="00F57741"/>
    <w:rsid w:val="00F645D0"/>
    <w:rsid w:val="00F66B45"/>
    <w:rsid w:val="00F72E3B"/>
    <w:rsid w:val="00F82636"/>
    <w:rsid w:val="00F8776F"/>
    <w:rsid w:val="00F900AC"/>
    <w:rsid w:val="00FA4521"/>
    <w:rsid w:val="00FB09CD"/>
    <w:rsid w:val="00FB0C9F"/>
    <w:rsid w:val="00FB1509"/>
    <w:rsid w:val="00FB185C"/>
    <w:rsid w:val="00FB21E9"/>
    <w:rsid w:val="00FC092D"/>
    <w:rsid w:val="00FC62B6"/>
    <w:rsid w:val="00FD0683"/>
    <w:rsid w:val="00FD4D07"/>
    <w:rsid w:val="00FE153A"/>
    <w:rsid w:val="00FE1CFD"/>
    <w:rsid w:val="00FF1FCD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Props1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19</TotalTime>
  <Pages>3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5</cp:revision>
  <dcterms:created xsi:type="dcterms:W3CDTF">2025-01-31T10:16:00Z</dcterms:created>
  <dcterms:modified xsi:type="dcterms:W3CDTF">2025-02-10T11:24:00Z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